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CB64E" w14:textId="29E5C267" w:rsidR="001B6D1A" w:rsidRDefault="001B6D1A" w:rsidP="008E2757">
      <w:pPr>
        <w:spacing w:line="276"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3"/>
      </w:tblGrid>
      <w:tr w:rsidR="00A46045" w:rsidRPr="00AD3D25" w14:paraId="05ECE057" w14:textId="77777777" w:rsidTr="001B6D1A">
        <w:tc>
          <w:tcPr>
            <w:tcW w:w="4429" w:type="dxa"/>
          </w:tcPr>
          <w:p w14:paraId="443FF18B" w14:textId="500847E9" w:rsidR="00A46045" w:rsidRPr="00081F39" w:rsidRDefault="00A46045" w:rsidP="008E2757">
            <w:pPr>
              <w:spacing w:line="276" w:lineRule="auto"/>
              <w:rPr>
                <w:rFonts w:cstheme="minorHAnsi"/>
                <w:bCs/>
              </w:rPr>
            </w:pPr>
            <w:r w:rsidRPr="00081F39">
              <w:rPr>
                <w:rFonts w:cstheme="minorHAnsi"/>
                <w:bCs/>
              </w:rPr>
              <w:t xml:space="preserve">Numer sprawy:  </w:t>
            </w:r>
            <w:r w:rsidR="00AE4A30">
              <w:rPr>
                <w:rFonts w:cstheme="minorHAnsi"/>
                <w:bCs/>
              </w:rPr>
              <w:t>RIZP 271.</w:t>
            </w:r>
            <w:r w:rsidR="00AE3015">
              <w:rPr>
                <w:rFonts w:cstheme="minorHAnsi"/>
                <w:bCs/>
              </w:rPr>
              <w:t>21</w:t>
            </w:r>
            <w:r w:rsidR="00AE4A30">
              <w:rPr>
                <w:rFonts w:cstheme="minorHAnsi"/>
                <w:bCs/>
              </w:rPr>
              <w:t>.2025</w:t>
            </w:r>
          </w:p>
          <w:p w14:paraId="642231F8" w14:textId="77777777" w:rsidR="00A46045" w:rsidRPr="00081F39" w:rsidRDefault="00A46045" w:rsidP="008E2757">
            <w:pPr>
              <w:spacing w:line="276" w:lineRule="auto"/>
              <w:rPr>
                <w:rFonts w:cstheme="minorHAnsi"/>
                <w:bCs/>
              </w:rPr>
            </w:pPr>
          </w:p>
          <w:p w14:paraId="0EE3D415" w14:textId="77777777" w:rsidR="00A46045" w:rsidRPr="00081F39" w:rsidRDefault="00A46045" w:rsidP="008E2757">
            <w:pPr>
              <w:spacing w:line="276" w:lineRule="auto"/>
              <w:rPr>
                <w:rFonts w:cstheme="minorHAnsi"/>
                <w:bCs/>
              </w:rPr>
            </w:pPr>
          </w:p>
          <w:p w14:paraId="554BED10" w14:textId="5CF551D5" w:rsidR="00A46045" w:rsidRDefault="00A46045" w:rsidP="008E2757">
            <w:pPr>
              <w:spacing w:line="276" w:lineRule="auto"/>
              <w:rPr>
                <w:rFonts w:cstheme="minorHAnsi"/>
                <w:bCs/>
              </w:rPr>
            </w:pPr>
          </w:p>
          <w:p w14:paraId="2DE84F86" w14:textId="77777777" w:rsidR="00A46045" w:rsidRPr="00081F39" w:rsidRDefault="00A46045" w:rsidP="008E2757">
            <w:pPr>
              <w:spacing w:line="276" w:lineRule="auto"/>
              <w:rPr>
                <w:rFonts w:cstheme="minorHAnsi"/>
                <w:bCs/>
              </w:rPr>
            </w:pPr>
          </w:p>
          <w:p w14:paraId="5CD26AEF" w14:textId="77777777" w:rsidR="00A46045" w:rsidRPr="00081F39" w:rsidRDefault="00A46045" w:rsidP="008E2757">
            <w:pPr>
              <w:spacing w:line="276" w:lineRule="auto"/>
              <w:rPr>
                <w:rFonts w:cstheme="minorHAnsi"/>
                <w:bCs/>
              </w:rPr>
            </w:pPr>
          </w:p>
        </w:tc>
        <w:tc>
          <w:tcPr>
            <w:tcW w:w="4643" w:type="dxa"/>
          </w:tcPr>
          <w:p w14:paraId="0F5D30CA" w14:textId="1DCED34B" w:rsidR="00A46045" w:rsidRPr="00081F39" w:rsidRDefault="00AE4A30" w:rsidP="008E2757">
            <w:pPr>
              <w:spacing w:line="276" w:lineRule="auto"/>
              <w:jc w:val="right"/>
              <w:rPr>
                <w:rFonts w:cstheme="minorHAnsi"/>
                <w:bCs/>
              </w:rPr>
            </w:pPr>
            <w:r>
              <w:rPr>
                <w:rFonts w:cstheme="minorHAnsi"/>
                <w:bCs/>
              </w:rPr>
              <w:t>Załącznik nr 1 do SWZ</w:t>
            </w:r>
          </w:p>
          <w:p w14:paraId="05256052" w14:textId="77777777" w:rsidR="00A46045" w:rsidRPr="00081F39" w:rsidRDefault="00A46045" w:rsidP="008E2757">
            <w:pPr>
              <w:tabs>
                <w:tab w:val="left" w:pos="1068"/>
              </w:tabs>
              <w:spacing w:line="276" w:lineRule="auto"/>
              <w:rPr>
                <w:rFonts w:cstheme="minorHAnsi"/>
              </w:rPr>
            </w:pPr>
          </w:p>
        </w:tc>
      </w:tr>
      <w:tr w:rsidR="00A46045" w:rsidRPr="00AD3D25" w14:paraId="7E038D28" w14:textId="77777777" w:rsidTr="001B6D1A">
        <w:tc>
          <w:tcPr>
            <w:tcW w:w="9072" w:type="dxa"/>
            <w:gridSpan w:val="2"/>
            <w:vAlign w:val="center"/>
          </w:tcPr>
          <w:p w14:paraId="435717E9" w14:textId="77777777" w:rsidR="00A46045" w:rsidRDefault="00A46045" w:rsidP="008E2757">
            <w:pPr>
              <w:spacing w:line="276" w:lineRule="auto"/>
              <w:jc w:val="center"/>
              <w:rPr>
                <w:sz w:val="44"/>
                <w:szCs w:val="44"/>
              </w:rPr>
            </w:pPr>
            <w:r w:rsidRPr="00A46045">
              <w:rPr>
                <w:sz w:val="44"/>
                <w:szCs w:val="44"/>
              </w:rPr>
              <w:t>Szczegółowy Opis Przedmiotu Zamówienia</w:t>
            </w:r>
          </w:p>
          <w:p w14:paraId="1CFE16B7" w14:textId="77777777" w:rsidR="0089651A" w:rsidRDefault="0089651A" w:rsidP="0089651A">
            <w:pPr>
              <w:spacing w:line="276" w:lineRule="auto"/>
              <w:jc w:val="center"/>
              <w:rPr>
                <w:sz w:val="44"/>
                <w:szCs w:val="44"/>
              </w:rPr>
            </w:pPr>
          </w:p>
          <w:p w14:paraId="78C980E0" w14:textId="764C99B2" w:rsidR="00B0696D" w:rsidRPr="00B0696D" w:rsidRDefault="00AF7FBB" w:rsidP="00B0696D">
            <w:pPr>
              <w:spacing w:line="276" w:lineRule="auto"/>
              <w:jc w:val="center"/>
              <w:rPr>
                <w:sz w:val="44"/>
                <w:szCs w:val="44"/>
              </w:rPr>
            </w:pPr>
            <w:r>
              <w:rPr>
                <w:sz w:val="44"/>
                <w:szCs w:val="44"/>
              </w:rPr>
              <w:t xml:space="preserve">pn. </w:t>
            </w:r>
            <w:r w:rsidR="00B0696D" w:rsidRPr="00B0696D">
              <w:rPr>
                <w:sz w:val="44"/>
                <w:szCs w:val="44"/>
              </w:rPr>
              <w:t xml:space="preserve">Przeprowadzenie </w:t>
            </w:r>
            <w:r w:rsidR="00882737">
              <w:rPr>
                <w:sz w:val="44"/>
                <w:szCs w:val="44"/>
              </w:rPr>
              <w:t>szkoleń</w:t>
            </w:r>
          </w:p>
          <w:p w14:paraId="4062A98C" w14:textId="29959AC3" w:rsidR="0089651A" w:rsidRDefault="00B0696D" w:rsidP="00B0696D">
            <w:pPr>
              <w:spacing w:line="276" w:lineRule="auto"/>
              <w:jc w:val="center"/>
              <w:rPr>
                <w:sz w:val="44"/>
                <w:szCs w:val="44"/>
              </w:rPr>
            </w:pPr>
            <w:r w:rsidRPr="00B0696D">
              <w:rPr>
                <w:sz w:val="44"/>
                <w:szCs w:val="44"/>
              </w:rPr>
              <w:t xml:space="preserve">dla </w:t>
            </w:r>
            <w:r w:rsidR="00AE3015">
              <w:rPr>
                <w:sz w:val="44"/>
                <w:szCs w:val="44"/>
              </w:rPr>
              <w:t>administratorów IT</w:t>
            </w:r>
          </w:p>
          <w:p w14:paraId="11C56661" w14:textId="77777777" w:rsidR="00A46045" w:rsidRDefault="00A46045" w:rsidP="008E2757">
            <w:pPr>
              <w:spacing w:line="276" w:lineRule="auto"/>
              <w:jc w:val="center"/>
              <w:rPr>
                <w:sz w:val="28"/>
                <w:szCs w:val="28"/>
              </w:rPr>
            </w:pPr>
          </w:p>
          <w:p w14:paraId="7F3D1118" w14:textId="241DFF04" w:rsidR="00A46045" w:rsidRPr="00A46045" w:rsidRDefault="00A46045" w:rsidP="008E2757">
            <w:pPr>
              <w:spacing w:line="276" w:lineRule="auto"/>
              <w:jc w:val="center"/>
              <w:rPr>
                <w:sz w:val="28"/>
                <w:szCs w:val="28"/>
              </w:rPr>
            </w:pPr>
            <w:bookmarkStart w:id="0" w:name="_Hlk96781142"/>
          </w:p>
          <w:bookmarkEnd w:id="0"/>
          <w:p w14:paraId="16EF8665" w14:textId="77777777" w:rsidR="00A46045" w:rsidRPr="00AD3D25" w:rsidRDefault="00A46045" w:rsidP="008E2757">
            <w:pPr>
              <w:spacing w:line="276" w:lineRule="auto"/>
              <w:jc w:val="center"/>
              <w:rPr>
                <w:rFonts w:ascii="Times New Roman" w:hAnsi="Times New Roman" w:cs="Times New Roman"/>
                <w:bCs/>
                <w:sz w:val="24"/>
                <w:szCs w:val="24"/>
              </w:rPr>
            </w:pPr>
          </w:p>
        </w:tc>
      </w:tr>
    </w:tbl>
    <w:p w14:paraId="796E12B1" w14:textId="30F65BF0" w:rsidR="00EF3894" w:rsidRPr="00CB2D25" w:rsidRDefault="00EF3894" w:rsidP="008E2757">
      <w:pPr>
        <w:spacing w:line="276" w:lineRule="auto"/>
      </w:pPr>
      <w:bookmarkStart w:id="1" w:name="_GoBack"/>
      <w:bookmarkEnd w:id="1"/>
      <w:r>
        <w:rPr>
          <w:sz w:val="44"/>
          <w:szCs w:val="44"/>
        </w:rPr>
        <w:br w:type="page"/>
      </w:r>
    </w:p>
    <w:p w14:paraId="0017881E" w14:textId="77777777" w:rsidR="00566FB1" w:rsidRDefault="00566FB1" w:rsidP="00E41886">
      <w:pPr>
        <w:pStyle w:val="Nagwek1"/>
        <w:numPr>
          <w:ilvl w:val="0"/>
          <w:numId w:val="1"/>
        </w:numPr>
        <w:spacing w:after="240" w:line="276" w:lineRule="auto"/>
      </w:pPr>
      <w:bookmarkStart w:id="2" w:name="_Toc174003987"/>
      <w:bookmarkStart w:id="3" w:name="_Toc203652254"/>
      <w:r>
        <w:lastRenderedPageBreak/>
        <w:t>Zestawienie ilościowe.</w:t>
      </w:r>
      <w:bookmarkEnd w:id="2"/>
      <w:bookmarkEnd w:id="3"/>
    </w:p>
    <w:p w14:paraId="2FE721FF" w14:textId="77777777" w:rsidR="00DD18B6" w:rsidRDefault="00DD18B6" w:rsidP="00DD18B6"/>
    <w:p w14:paraId="5B032262" w14:textId="38B4E29A" w:rsidR="00DD18B6" w:rsidRPr="00DD18B6" w:rsidRDefault="00DD18B6" w:rsidP="00DD18B6">
      <w:r>
        <w:t>Przeprowadzenie szkoleń dla administratorów IT</w:t>
      </w:r>
    </w:p>
    <w:tbl>
      <w:tblPr>
        <w:tblStyle w:val="Zwykatabela1"/>
        <w:tblW w:w="0" w:type="auto"/>
        <w:tblLook w:val="04A0" w:firstRow="1" w:lastRow="0" w:firstColumn="1" w:lastColumn="0" w:noHBand="0" w:noVBand="1"/>
      </w:tblPr>
      <w:tblGrid>
        <w:gridCol w:w="545"/>
        <w:gridCol w:w="7029"/>
        <w:gridCol w:w="1488"/>
      </w:tblGrid>
      <w:tr w:rsidR="00DD18B6" w:rsidRPr="00A16663" w14:paraId="73F4218B" w14:textId="77777777" w:rsidTr="00B053B0">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45" w:type="dxa"/>
            <w:vAlign w:val="center"/>
          </w:tcPr>
          <w:p w14:paraId="5B1145B7" w14:textId="77777777" w:rsidR="00DD18B6" w:rsidRPr="00A16663" w:rsidRDefault="00DD18B6" w:rsidP="00B053B0">
            <w:pPr>
              <w:spacing w:line="276" w:lineRule="auto"/>
              <w:jc w:val="center"/>
            </w:pPr>
            <w:r w:rsidRPr="00A16663">
              <w:t>L.p.</w:t>
            </w:r>
          </w:p>
        </w:tc>
        <w:tc>
          <w:tcPr>
            <w:tcW w:w="7029" w:type="dxa"/>
            <w:vAlign w:val="center"/>
          </w:tcPr>
          <w:p w14:paraId="40AC6841" w14:textId="77777777" w:rsidR="00DD18B6" w:rsidRPr="00A16663" w:rsidRDefault="00DD18B6" w:rsidP="00B053B0">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Nazwa</w:t>
            </w:r>
          </w:p>
        </w:tc>
        <w:tc>
          <w:tcPr>
            <w:tcW w:w="1488" w:type="dxa"/>
            <w:vAlign w:val="center"/>
          </w:tcPr>
          <w:p w14:paraId="3128593C" w14:textId="77777777" w:rsidR="00DD18B6" w:rsidRPr="00A16663" w:rsidRDefault="00DD18B6" w:rsidP="00B053B0">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Ilość</w:t>
            </w:r>
          </w:p>
        </w:tc>
      </w:tr>
      <w:tr w:rsidR="00DD18B6" w:rsidRPr="00A16663" w14:paraId="3E1585D0" w14:textId="77777777" w:rsidTr="00B05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 w:type="dxa"/>
            <w:vAlign w:val="center"/>
          </w:tcPr>
          <w:p w14:paraId="77B7CE06" w14:textId="77777777" w:rsidR="00DD18B6" w:rsidRPr="00A16663" w:rsidRDefault="00DD18B6" w:rsidP="00B053B0">
            <w:pPr>
              <w:spacing w:line="276" w:lineRule="auto"/>
              <w:jc w:val="both"/>
            </w:pPr>
            <w:r>
              <w:t>1.</w:t>
            </w:r>
          </w:p>
        </w:tc>
        <w:tc>
          <w:tcPr>
            <w:tcW w:w="7029" w:type="dxa"/>
          </w:tcPr>
          <w:p w14:paraId="6167B82F" w14:textId="3F789EBC" w:rsidR="00DD18B6" w:rsidRPr="005C6B7E" w:rsidRDefault="00DD18B6" w:rsidP="00B053B0">
            <w:pPr>
              <w:spacing w:line="276" w:lineRule="auto"/>
              <w:jc w:val="both"/>
              <w:cnfStyle w:val="000000100000" w:firstRow="0" w:lastRow="0" w:firstColumn="0" w:lastColumn="0" w:oddVBand="0" w:evenVBand="0" w:oddHBand="1" w:evenHBand="0" w:firstRowFirstColumn="0" w:firstRowLastColumn="0" w:lastRowFirstColumn="0" w:lastRowLastColumn="0"/>
            </w:pPr>
            <w:r w:rsidRPr="005837B8">
              <w:t xml:space="preserve">Zakup usług szkolenia </w:t>
            </w:r>
            <w:r w:rsidR="00E50655">
              <w:t>dla administratorów IT</w:t>
            </w:r>
          </w:p>
        </w:tc>
        <w:tc>
          <w:tcPr>
            <w:tcW w:w="1488" w:type="dxa"/>
          </w:tcPr>
          <w:p w14:paraId="6311D497" w14:textId="28DFDDD5" w:rsidR="00DD18B6" w:rsidRDefault="00DD18B6" w:rsidP="00B053B0">
            <w:pPr>
              <w:spacing w:line="276" w:lineRule="auto"/>
              <w:jc w:val="center"/>
              <w:cnfStyle w:val="000000100000" w:firstRow="0" w:lastRow="0" w:firstColumn="0" w:lastColumn="0" w:oddVBand="0" w:evenVBand="0" w:oddHBand="1" w:evenHBand="0" w:firstRowFirstColumn="0" w:firstRowLastColumn="0" w:lastRowFirstColumn="0" w:lastRowLastColumn="0"/>
            </w:pPr>
            <w:r w:rsidRPr="005837B8">
              <w:t>2</w:t>
            </w:r>
            <w:r>
              <w:t xml:space="preserve"> osoby</w:t>
            </w:r>
          </w:p>
        </w:tc>
      </w:tr>
    </w:tbl>
    <w:p w14:paraId="5CEEEDF5" w14:textId="4CD5991A" w:rsidR="00AA4C83" w:rsidRDefault="00AA4C83" w:rsidP="00E41886">
      <w:pPr>
        <w:pStyle w:val="Nagwek1"/>
        <w:numPr>
          <w:ilvl w:val="0"/>
          <w:numId w:val="1"/>
        </w:numPr>
        <w:spacing w:after="240" w:line="276" w:lineRule="auto"/>
      </w:pPr>
      <w:bookmarkStart w:id="4" w:name="_Toc203652255"/>
      <w:r>
        <w:t>Termin realizacji zamówienia.</w:t>
      </w:r>
      <w:bookmarkEnd w:id="4"/>
    </w:p>
    <w:p w14:paraId="395F6764" w14:textId="23C44251" w:rsidR="00AE4A30" w:rsidRPr="00AE4A30" w:rsidRDefault="00AE4A30" w:rsidP="00AE4A30">
      <w:r>
        <w:t>Zamówienie wykonać należy w terminach wskazanych w dokumentacji przetargowej.</w:t>
      </w:r>
    </w:p>
    <w:p w14:paraId="33307184" w14:textId="2731CBC3" w:rsidR="00C07B97" w:rsidRDefault="000262C6" w:rsidP="00F77037">
      <w:pPr>
        <w:pStyle w:val="Nagwek1"/>
        <w:numPr>
          <w:ilvl w:val="0"/>
          <w:numId w:val="1"/>
        </w:numPr>
        <w:spacing w:after="240" w:line="276" w:lineRule="auto"/>
      </w:pPr>
      <w:bookmarkStart w:id="5" w:name="_Toc203652260"/>
      <w:r>
        <w:t>Opis przedmiotu zamówienia</w:t>
      </w:r>
      <w:bookmarkEnd w:id="5"/>
    </w:p>
    <w:p w14:paraId="3FD07F10" w14:textId="43A32D42" w:rsidR="00E50655" w:rsidRPr="00E50655" w:rsidRDefault="00E50655" w:rsidP="00E50655">
      <w:pPr>
        <w:pStyle w:val="Nagwek1"/>
        <w:numPr>
          <w:ilvl w:val="1"/>
          <w:numId w:val="1"/>
        </w:numPr>
        <w:spacing w:after="240" w:line="276" w:lineRule="auto"/>
      </w:pPr>
      <w:bookmarkStart w:id="6" w:name="_Toc203652261"/>
      <w:r w:rsidRPr="00E50655">
        <w:t>Zakup usług szkolenia dla administratorów IT</w:t>
      </w:r>
      <w:bookmarkEnd w:id="6"/>
    </w:p>
    <w:p w14:paraId="1A16A57F" w14:textId="77777777" w:rsidR="00F77037" w:rsidRPr="004409EE" w:rsidRDefault="00F77037" w:rsidP="00F77037">
      <w:pPr>
        <w:spacing w:line="276" w:lineRule="auto"/>
        <w:jc w:val="both"/>
        <w:rPr>
          <w:u w:val="single"/>
        </w:rPr>
      </w:pPr>
      <w:r w:rsidRPr="004409EE">
        <w:rPr>
          <w:u w:val="single"/>
        </w:rPr>
        <w:t>Wymagania ogólne dla szkoleń:</w:t>
      </w:r>
    </w:p>
    <w:p w14:paraId="71D7BBBF" w14:textId="77777777" w:rsidR="00F77037" w:rsidRPr="00397668" w:rsidRDefault="00F77037" w:rsidP="004914AB">
      <w:pPr>
        <w:pStyle w:val="Akapitzlist"/>
        <w:numPr>
          <w:ilvl w:val="0"/>
          <w:numId w:val="19"/>
        </w:numPr>
        <w:spacing w:after="0" w:line="276" w:lineRule="auto"/>
        <w:ind w:left="284" w:hanging="284"/>
        <w:jc w:val="both"/>
      </w:pPr>
      <w:r w:rsidRPr="00397668">
        <w:t xml:space="preserve">Jednostką czasową szkolenia jest 1 godzina szkoleniowa (1 godzina szkolenia = 45 minut). </w:t>
      </w:r>
    </w:p>
    <w:p w14:paraId="7C4A7A94" w14:textId="77777777" w:rsidR="00F77037" w:rsidRPr="00397668" w:rsidRDefault="00F77037" w:rsidP="004914AB">
      <w:pPr>
        <w:pStyle w:val="Akapitzlist"/>
        <w:numPr>
          <w:ilvl w:val="0"/>
          <w:numId w:val="19"/>
        </w:numPr>
        <w:spacing w:after="0" w:line="276" w:lineRule="auto"/>
        <w:ind w:left="284" w:hanging="284"/>
        <w:jc w:val="both"/>
      </w:pPr>
      <w:r w:rsidRPr="00397668">
        <w:t>Szkolenia będą trwały maksymalnie 8 godzin szkoleniowych w ciągu dnia.</w:t>
      </w:r>
    </w:p>
    <w:p w14:paraId="504D8B0F" w14:textId="116E78F4" w:rsidR="00F77037" w:rsidRPr="00397668" w:rsidRDefault="00F77037" w:rsidP="004914AB">
      <w:pPr>
        <w:pStyle w:val="Akapitzlist"/>
        <w:numPr>
          <w:ilvl w:val="0"/>
          <w:numId w:val="19"/>
        </w:numPr>
        <w:spacing w:after="0" w:line="276" w:lineRule="auto"/>
        <w:ind w:left="284" w:hanging="284"/>
        <w:jc w:val="both"/>
      </w:pPr>
      <w:r w:rsidRPr="00397668">
        <w:t xml:space="preserve">Szkolenia będą odbywać się w dni robocze w godzinach 7.30 – </w:t>
      </w:r>
      <w:r w:rsidR="00596223">
        <w:t>17.00</w:t>
      </w:r>
      <w:r w:rsidRPr="00397668">
        <w:t>.</w:t>
      </w:r>
    </w:p>
    <w:p w14:paraId="49DC8BB3" w14:textId="5F86C0AC" w:rsidR="00F77037" w:rsidRPr="00397668" w:rsidRDefault="00F77037" w:rsidP="004914AB">
      <w:pPr>
        <w:pStyle w:val="Akapitzlist"/>
        <w:numPr>
          <w:ilvl w:val="0"/>
          <w:numId w:val="19"/>
        </w:numPr>
        <w:spacing w:after="0" w:line="276" w:lineRule="auto"/>
        <w:ind w:left="284" w:hanging="284"/>
        <w:jc w:val="both"/>
      </w:pPr>
      <w:r w:rsidRPr="00397668">
        <w:t>Szkolenia będą prowadzone w języku polskim</w:t>
      </w:r>
      <w:r>
        <w:t xml:space="preserve"> w trybie zdalnym w formule on-line.</w:t>
      </w:r>
      <w:r w:rsidR="00A74C3D">
        <w:t xml:space="preserve"> Zamawiający dopuszcza materiały w języku angielskim.</w:t>
      </w:r>
    </w:p>
    <w:p w14:paraId="2CE83648" w14:textId="77777777" w:rsidR="00F77037" w:rsidRPr="00397668" w:rsidRDefault="00F77037" w:rsidP="004914AB">
      <w:pPr>
        <w:pStyle w:val="Akapitzlist"/>
        <w:numPr>
          <w:ilvl w:val="0"/>
          <w:numId w:val="19"/>
        </w:numPr>
        <w:spacing w:after="0" w:line="276" w:lineRule="auto"/>
        <w:ind w:left="284" w:hanging="284"/>
        <w:jc w:val="both"/>
      </w:pPr>
      <w:r w:rsidRPr="00397668">
        <w:t xml:space="preserve">Szkolenia prowadzone będą na podstawie zaakceptowanego prze Zamawiającego dziennego harmonogramu prac, dostarczonego przez Wykonawcę Zamawiającemu nie później niż </w:t>
      </w:r>
      <w:r>
        <w:t>14</w:t>
      </w:r>
      <w:r w:rsidRPr="00397668">
        <w:t xml:space="preserve"> dni przed rozpoczęciem szkolenia.</w:t>
      </w:r>
    </w:p>
    <w:p w14:paraId="63774358" w14:textId="77777777" w:rsidR="00F77037" w:rsidRPr="00397668" w:rsidRDefault="00F77037" w:rsidP="004914AB">
      <w:pPr>
        <w:pStyle w:val="Akapitzlist"/>
        <w:numPr>
          <w:ilvl w:val="0"/>
          <w:numId w:val="19"/>
        </w:numPr>
        <w:spacing w:after="0" w:line="276" w:lineRule="auto"/>
        <w:ind w:left="284" w:hanging="284"/>
        <w:jc w:val="both"/>
      </w:pPr>
      <w:r w:rsidRPr="00397668">
        <w:t>Szkolenia prowadzone będą na podstawie zaakceptowanego prze</w:t>
      </w:r>
      <w:r>
        <w:t>z</w:t>
      </w:r>
      <w:r w:rsidRPr="00397668">
        <w:t xml:space="preserve"> Zamawiającego szczegółowego zakresu merytorycznego szkolenia dostarczonego przez Wykonawcę. </w:t>
      </w:r>
    </w:p>
    <w:p w14:paraId="715F62FA" w14:textId="77777777" w:rsidR="00F77037" w:rsidRPr="00397668" w:rsidRDefault="00F77037" w:rsidP="004914AB">
      <w:pPr>
        <w:pStyle w:val="Akapitzlist"/>
        <w:numPr>
          <w:ilvl w:val="0"/>
          <w:numId w:val="19"/>
        </w:numPr>
        <w:spacing w:after="0" w:line="276" w:lineRule="auto"/>
        <w:ind w:left="284" w:hanging="284"/>
        <w:jc w:val="both"/>
      </w:pPr>
      <w:r w:rsidRPr="00397668">
        <w:t>W przypadku szkoleń trwających do 3 godzin, przewiduje się jedną przerwę trwającą 15 minut. W</w:t>
      </w:r>
      <w:r>
        <w:t> </w:t>
      </w:r>
      <w:r w:rsidRPr="00397668">
        <w:t>przypadku szkoleń trwających powyżej 3 godzin, organizowane będą dwie przerwy trwające 15 minut każda. Dodatkowo, w przypadku szkoleń trwających 8 godzin</w:t>
      </w:r>
      <w:r>
        <w:t xml:space="preserve"> </w:t>
      </w:r>
      <w:r w:rsidRPr="00397668">
        <w:t>zaplanowana jest przerwa trwająca 30 minut.</w:t>
      </w:r>
    </w:p>
    <w:p w14:paraId="7365131E" w14:textId="54DF094E" w:rsidR="00F77037" w:rsidRPr="00397668" w:rsidRDefault="00F77037" w:rsidP="004914AB">
      <w:pPr>
        <w:pStyle w:val="Akapitzlist"/>
        <w:numPr>
          <w:ilvl w:val="0"/>
          <w:numId w:val="19"/>
        </w:numPr>
        <w:spacing w:after="0" w:line="276" w:lineRule="auto"/>
        <w:ind w:left="284" w:hanging="284"/>
        <w:jc w:val="both"/>
      </w:pPr>
      <w:r w:rsidRPr="00397668">
        <w:t>W ramach organizacji szkoleń Zamawiający zapewni rekrutację osób biorących udział w szkoleniach.</w:t>
      </w:r>
      <w:r>
        <w:t xml:space="preserve"> </w:t>
      </w:r>
    </w:p>
    <w:p w14:paraId="079B614F" w14:textId="77777777" w:rsidR="00F77037" w:rsidRPr="00397668" w:rsidRDefault="00F77037" w:rsidP="004914AB">
      <w:pPr>
        <w:pStyle w:val="Akapitzlist"/>
        <w:numPr>
          <w:ilvl w:val="0"/>
          <w:numId w:val="19"/>
        </w:numPr>
        <w:spacing w:after="0" w:line="276" w:lineRule="auto"/>
        <w:ind w:left="284" w:hanging="284"/>
        <w:jc w:val="both"/>
      </w:pPr>
      <w:r w:rsidRPr="00397668">
        <w:t>W ramach organizacji szkoleń Wykonawca zapewni:</w:t>
      </w:r>
    </w:p>
    <w:p w14:paraId="6EF0CD77" w14:textId="2C344772" w:rsidR="00F77037" w:rsidRPr="00771245" w:rsidRDefault="00F77037" w:rsidP="004914AB">
      <w:pPr>
        <w:pStyle w:val="Akapitzlist"/>
        <w:numPr>
          <w:ilvl w:val="1"/>
          <w:numId w:val="20"/>
        </w:numPr>
        <w:spacing w:line="276" w:lineRule="auto"/>
        <w:jc w:val="both"/>
      </w:pPr>
      <w:r w:rsidRPr="00771245">
        <w:t>Materiały szkoleniowe, obejmujące szczegółowy zakres szkolenia, harmonogram dzienny szkolenia oraz materiały merytoryczne (np. skrypty, podręczniki, zeszyty informacyjne, broszury) w formie papierowej</w:t>
      </w:r>
      <w:r>
        <w:t xml:space="preserve"> lub elektronicznej</w:t>
      </w:r>
      <w:r w:rsidRPr="00771245">
        <w:t>, zawierające szczegółowe informacje, które będą omawiane podczas szkolenia. Ponadto</w:t>
      </w:r>
      <w:r>
        <w:t xml:space="preserve"> w przypadku organizacji szkoleń w formule stacjonarnej</w:t>
      </w:r>
      <w:r w:rsidR="00DD7A69">
        <w:t>,</w:t>
      </w:r>
      <w:r w:rsidRPr="00771245">
        <w:t xml:space="preserve"> uczestnicy otrzymają materiały pisarskie, w tym zeszyty, długopisy, ołówki itp. Materiały szkoleniowe przekazywane są nieodpłatnie </w:t>
      </w:r>
      <w:r>
        <w:t>u</w:t>
      </w:r>
      <w:r w:rsidRPr="00771245">
        <w:t>czestnikom na własność 2 egzemplarze materiałów szkoleniowych zostaną przekazane Zamawiającemu w celach archiwalnych.</w:t>
      </w:r>
    </w:p>
    <w:p w14:paraId="27075028" w14:textId="4F9A5D67" w:rsidR="00F77037" w:rsidRDefault="00F77037" w:rsidP="004914AB">
      <w:pPr>
        <w:pStyle w:val="Akapitzlist"/>
        <w:numPr>
          <w:ilvl w:val="1"/>
          <w:numId w:val="20"/>
        </w:numPr>
        <w:spacing w:line="276" w:lineRule="auto"/>
        <w:jc w:val="both"/>
      </w:pPr>
      <w:r>
        <w:t xml:space="preserve">Wykonawca jest zobowiązany dostarczyć narzędzia do komunikacji zdalnej, które umożliwią dwustronne przesyłanie przez sieć Internet obrazu i dźwięku między prowadzącym szkolenie a </w:t>
      </w:r>
      <w:r>
        <w:lastRenderedPageBreak/>
        <w:t>uczestnikami szkolenia. Narzędzie musi umożliwiać zadawanie pytań także w formie pisemnej bezpośrednio na czacie w trakcie trwania sesji szkoleniowej.</w:t>
      </w:r>
    </w:p>
    <w:p w14:paraId="77A35840" w14:textId="2C281630" w:rsidR="00F77037" w:rsidRPr="00771245" w:rsidRDefault="00F77037" w:rsidP="004914AB">
      <w:pPr>
        <w:pStyle w:val="Akapitzlist"/>
        <w:numPr>
          <w:ilvl w:val="1"/>
          <w:numId w:val="20"/>
        </w:numPr>
        <w:spacing w:line="276" w:lineRule="auto"/>
        <w:jc w:val="both"/>
      </w:pPr>
      <w:r w:rsidRPr="00771245">
        <w:t>Projektor multimedialny, tablice i inne artykuły niezbędne do prowadzenia szkoleń</w:t>
      </w:r>
      <w:r>
        <w:t xml:space="preserve"> w przypadku prowadzenia szkoleń stacjonarnych</w:t>
      </w:r>
      <w:r w:rsidR="00DD7A69">
        <w:t>.</w:t>
      </w:r>
    </w:p>
    <w:p w14:paraId="507D8436" w14:textId="77777777" w:rsidR="00F77037" w:rsidRPr="00771245" w:rsidRDefault="00F77037" w:rsidP="004914AB">
      <w:pPr>
        <w:pStyle w:val="Akapitzlist"/>
        <w:numPr>
          <w:ilvl w:val="1"/>
          <w:numId w:val="20"/>
        </w:numPr>
        <w:spacing w:line="276" w:lineRule="auto"/>
        <w:jc w:val="both"/>
      </w:pPr>
      <w:r w:rsidRPr="00771245">
        <w:t xml:space="preserve">Właściwe działania promocyjne i informacyjne dotyczące szkoleń, w tym właściwe oznakowanie sal szkoleniowych, jak również oznakowanie w odpowiedni sposób materiałów szkoleniowych przekazanych </w:t>
      </w:r>
      <w:r>
        <w:t>u</w:t>
      </w:r>
      <w:r w:rsidRPr="00771245">
        <w:t xml:space="preserve">czestnikom oraz Zamawiającemu w celach archiwalnych obowiązkowymi oznaczeniami Beneficjentów Funduszy Europejskich.  </w:t>
      </w:r>
    </w:p>
    <w:p w14:paraId="7A45FA48" w14:textId="77777777" w:rsidR="00F77037" w:rsidRPr="00771245" w:rsidRDefault="00F77037" w:rsidP="004914AB">
      <w:pPr>
        <w:pStyle w:val="Akapitzlist"/>
        <w:numPr>
          <w:ilvl w:val="1"/>
          <w:numId w:val="20"/>
        </w:numPr>
        <w:spacing w:line="276" w:lineRule="auto"/>
        <w:jc w:val="both"/>
      </w:pPr>
      <w:r w:rsidRPr="00771245">
        <w:t xml:space="preserve">Wydanie </w:t>
      </w:r>
      <w:r>
        <w:t>u</w:t>
      </w:r>
      <w:r w:rsidRPr="00771245">
        <w:t>czestnikom szkolenia zaświadczeń o ukończeniu danego szkolenia.</w:t>
      </w:r>
    </w:p>
    <w:p w14:paraId="699FA739" w14:textId="02779570" w:rsidR="00F77037" w:rsidRPr="00771245" w:rsidRDefault="00F77037" w:rsidP="004914AB">
      <w:pPr>
        <w:pStyle w:val="Akapitzlist"/>
        <w:numPr>
          <w:ilvl w:val="1"/>
          <w:numId w:val="20"/>
        </w:numPr>
        <w:spacing w:line="276" w:lineRule="auto"/>
        <w:jc w:val="both"/>
      </w:pPr>
      <w:r w:rsidRPr="00771245">
        <w:t>Kadrę</w:t>
      </w:r>
      <w:r>
        <w:t xml:space="preserve"> </w:t>
      </w:r>
      <w:r w:rsidRPr="00771245">
        <w:t>trenerską posiadającą wiedzę i umiejętności adekwatne do rodzaju i zakresu merytorycznego szkolenia, zdolną do pełnej realizacji wymogów związanych z prowadzeniem szkoleń.</w:t>
      </w:r>
      <w:r w:rsidR="00DD7A69">
        <w:t xml:space="preserve"> </w:t>
      </w:r>
      <w:r w:rsidR="00BB6417">
        <w:t>Wykonawca jest zobowiązany zapewnić kadrę trenerską posiadającą minimum dwuletnie doświadczenie w prowadzeniu szkoleń w obszarze którego dotyczy szkolenie.</w:t>
      </w:r>
    </w:p>
    <w:p w14:paraId="2CDF1458" w14:textId="77777777" w:rsidR="00F77037" w:rsidRPr="00771245" w:rsidRDefault="00F77037" w:rsidP="004914AB">
      <w:pPr>
        <w:pStyle w:val="Akapitzlist"/>
        <w:numPr>
          <w:ilvl w:val="1"/>
          <w:numId w:val="20"/>
        </w:numPr>
        <w:spacing w:line="276" w:lineRule="auto"/>
        <w:jc w:val="both"/>
      </w:pPr>
      <w:r w:rsidRPr="00771245">
        <w:t>Prowadzenie dokumentacji wszystkich szkoleń w jednakowy sposób. Na dokumentację szkolenia składają się:</w:t>
      </w:r>
    </w:p>
    <w:p w14:paraId="051C3742" w14:textId="77777777" w:rsidR="00F77037" w:rsidRPr="00771245" w:rsidRDefault="00F77037" w:rsidP="004914AB">
      <w:pPr>
        <w:pStyle w:val="Akapitzlist"/>
        <w:numPr>
          <w:ilvl w:val="2"/>
          <w:numId w:val="13"/>
        </w:numPr>
        <w:spacing w:line="276" w:lineRule="auto"/>
        <w:jc w:val="both"/>
      </w:pPr>
      <w:r w:rsidRPr="00771245">
        <w:t xml:space="preserve">Lista obecności </w:t>
      </w:r>
      <w:r>
        <w:t>u</w:t>
      </w:r>
      <w:r w:rsidRPr="00771245">
        <w:t>czestników szkolenia (dzienne, wypełniane oddzielnie każdego dnia szkolenia).</w:t>
      </w:r>
    </w:p>
    <w:p w14:paraId="268096CD" w14:textId="77777777" w:rsidR="00F77037" w:rsidRPr="00771245" w:rsidRDefault="00F77037" w:rsidP="004914AB">
      <w:pPr>
        <w:pStyle w:val="Akapitzlist"/>
        <w:numPr>
          <w:ilvl w:val="2"/>
          <w:numId w:val="13"/>
        </w:numPr>
        <w:spacing w:line="276" w:lineRule="auto"/>
        <w:jc w:val="both"/>
      </w:pPr>
      <w:r w:rsidRPr="00771245">
        <w:t>Lista odbioru zaświadczeń o ukończeniu szkolenia.</w:t>
      </w:r>
    </w:p>
    <w:p w14:paraId="2E25F650" w14:textId="77777777" w:rsidR="00F77037" w:rsidRPr="00771245" w:rsidRDefault="00F77037" w:rsidP="004914AB">
      <w:pPr>
        <w:pStyle w:val="Akapitzlist"/>
        <w:numPr>
          <w:ilvl w:val="2"/>
          <w:numId w:val="13"/>
        </w:numPr>
        <w:spacing w:line="276" w:lineRule="auto"/>
        <w:jc w:val="both"/>
      </w:pPr>
      <w:r w:rsidRPr="00771245">
        <w:t xml:space="preserve">Potwierdzenie przez </w:t>
      </w:r>
      <w:r>
        <w:t>u</w:t>
      </w:r>
      <w:r w:rsidRPr="00771245">
        <w:t>czestników odbioru materiałów szkoleniowych.</w:t>
      </w:r>
    </w:p>
    <w:p w14:paraId="2D42E977" w14:textId="77777777" w:rsidR="00F77037" w:rsidRDefault="00F77037" w:rsidP="004914AB">
      <w:pPr>
        <w:pStyle w:val="Akapitzlist"/>
        <w:numPr>
          <w:ilvl w:val="2"/>
          <w:numId w:val="13"/>
        </w:numPr>
        <w:spacing w:line="276" w:lineRule="auto"/>
        <w:jc w:val="both"/>
      </w:pPr>
      <w:r w:rsidRPr="00771245">
        <w:t>Przeprowadzenie ankiet satysfakcji po każdym szkoleniu.</w:t>
      </w:r>
    </w:p>
    <w:p w14:paraId="794AD41D" w14:textId="4E5851B2" w:rsidR="000262C6" w:rsidRPr="000262C6" w:rsidRDefault="00F77037" w:rsidP="004914AB">
      <w:pPr>
        <w:pStyle w:val="Akapitzlist"/>
        <w:numPr>
          <w:ilvl w:val="2"/>
          <w:numId w:val="13"/>
        </w:numPr>
        <w:spacing w:line="276" w:lineRule="auto"/>
        <w:jc w:val="both"/>
      </w:pPr>
      <w:r w:rsidRPr="00771245">
        <w:t>Sporządzony przez kadrę trenerską dziennik zajęć, zawierający szczegółowe informacje na temat przebiegu oraz zakresu merytorycznego szkolenia, podpisany po zakończeniu szkolenia przez prowadzącego szkolenie.</w:t>
      </w:r>
    </w:p>
    <w:p w14:paraId="32F856B0" w14:textId="75417551" w:rsidR="00F77037" w:rsidRDefault="00F77037" w:rsidP="00F77037">
      <w:pPr>
        <w:spacing w:line="276" w:lineRule="auto"/>
        <w:jc w:val="both"/>
        <w:rPr>
          <w:u w:val="single"/>
        </w:rPr>
      </w:pPr>
      <w:r>
        <w:rPr>
          <w:u w:val="single"/>
        </w:rPr>
        <w:t>Zakres merytoryczny szkoleń</w:t>
      </w:r>
      <w:r w:rsidRPr="004409EE">
        <w:rPr>
          <w:u w:val="single"/>
        </w:rPr>
        <w:t>:</w:t>
      </w:r>
    </w:p>
    <w:p w14:paraId="5C0DD3F1" w14:textId="4C823D20" w:rsidR="00F77037" w:rsidRPr="00F77037" w:rsidRDefault="00F77037" w:rsidP="00F77037">
      <w:pPr>
        <w:spacing w:line="276" w:lineRule="auto"/>
        <w:jc w:val="both"/>
      </w:pPr>
      <w:r w:rsidRPr="00F77037">
        <w:t>Szkolenie powinno zostać podzielone na trzy moduły.</w:t>
      </w:r>
    </w:p>
    <w:p w14:paraId="2EE11AF2" w14:textId="144C8860" w:rsidR="004116C6" w:rsidRDefault="00F77037" w:rsidP="004116C6">
      <w:pPr>
        <w:spacing w:line="276" w:lineRule="auto"/>
        <w:jc w:val="both"/>
      </w:pPr>
      <w:r>
        <w:t xml:space="preserve">Moduł nr 1 </w:t>
      </w:r>
      <w:r w:rsidR="00C91C1F">
        <w:t>–</w:t>
      </w:r>
      <w:r>
        <w:t xml:space="preserve"> </w:t>
      </w:r>
      <w:r w:rsidR="00C91C1F">
        <w:t xml:space="preserve">autoryzowane szkolenie </w:t>
      </w:r>
      <w:proofErr w:type="spellStart"/>
      <w:r w:rsidR="00C91C1F" w:rsidRPr="00C91C1F">
        <w:t>CompTIA</w:t>
      </w:r>
      <w:proofErr w:type="spellEnd"/>
      <w:r w:rsidR="00C91C1F" w:rsidRPr="00C91C1F">
        <w:t xml:space="preserve"> </w:t>
      </w:r>
      <w:proofErr w:type="spellStart"/>
      <w:r w:rsidR="00C91C1F" w:rsidRPr="00C91C1F">
        <w:t>Cybersecurity</w:t>
      </w:r>
      <w:proofErr w:type="spellEnd"/>
      <w:r w:rsidR="00C91C1F" w:rsidRPr="00C91C1F">
        <w:t xml:space="preserve"> </w:t>
      </w:r>
      <w:proofErr w:type="spellStart"/>
      <w:r w:rsidR="00C91C1F" w:rsidRPr="00C91C1F">
        <w:t>Analyst</w:t>
      </w:r>
      <w:proofErr w:type="spellEnd"/>
      <w:r w:rsidR="00C91C1F" w:rsidRPr="00C91C1F">
        <w:t xml:space="preserve"> (</w:t>
      </w:r>
      <w:proofErr w:type="spellStart"/>
      <w:r w:rsidR="00C91C1F" w:rsidRPr="00C91C1F">
        <w:t>CySA</w:t>
      </w:r>
      <w:proofErr w:type="spellEnd"/>
      <w:r w:rsidR="00C91C1F" w:rsidRPr="00C91C1F">
        <w:t xml:space="preserve">+) </w:t>
      </w:r>
      <w:r w:rsidR="00C91C1F">
        <w:t xml:space="preserve">wraz z </w:t>
      </w:r>
      <w:r w:rsidR="00C91C1F" w:rsidRPr="00C91C1F">
        <w:t>przygotowanie</w:t>
      </w:r>
      <w:r w:rsidR="00C91C1F">
        <w:t>m</w:t>
      </w:r>
      <w:r w:rsidR="00C91C1F" w:rsidRPr="00C91C1F">
        <w:t xml:space="preserve"> </w:t>
      </w:r>
      <w:r w:rsidR="00C91C1F">
        <w:t xml:space="preserve">i zapewnieniem podejścia </w:t>
      </w:r>
      <w:r w:rsidR="00C91C1F" w:rsidRPr="00C91C1F">
        <w:t>do egzaminu CS0-003</w:t>
      </w:r>
      <w:r w:rsidR="00C91C1F">
        <w:t xml:space="preserve"> – rekomendowany program szkolenia:</w:t>
      </w:r>
    </w:p>
    <w:p w14:paraId="1BEEB172" w14:textId="24E6C846" w:rsidR="00C91C1F" w:rsidRPr="00C91C1F" w:rsidRDefault="00C91C1F" w:rsidP="004914AB">
      <w:pPr>
        <w:pStyle w:val="Akapitzlist"/>
        <w:numPr>
          <w:ilvl w:val="0"/>
          <w:numId w:val="21"/>
        </w:numPr>
        <w:spacing w:after="0" w:line="276" w:lineRule="auto"/>
        <w:jc w:val="both"/>
      </w:pPr>
      <w:r w:rsidRPr="00C91C1F">
        <w:t xml:space="preserve">Wprowadzenie do </w:t>
      </w:r>
      <w:proofErr w:type="spellStart"/>
      <w:r w:rsidRPr="00C91C1F">
        <w:t>CySA</w:t>
      </w:r>
      <w:proofErr w:type="spellEnd"/>
      <w:r w:rsidRPr="00C91C1F">
        <w:t>+ i zarządzania bezpieczeństwem</w:t>
      </w:r>
      <w:r>
        <w:t>:</w:t>
      </w:r>
    </w:p>
    <w:p w14:paraId="2F1A1EBC" w14:textId="14F756CF" w:rsidR="00C91C1F" w:rsidRPr="00C91C1F" w:rsidRDefault="00C91C1F" w:rsidP="004914AB">
      <w:pPr>
        <w:pStyle w:val="Akapitzlist"/>
        <w:numPr>
          <w:ilvl w:val="1"/>
          <w:numId w:val="21"/>
        </w:numPr>
        <w:spacing w:after="0" w:line="276" w:lineRule="auto"/>
        <w:jc w:val="both"/>
      </w:pPr>
      <w:proofErr w:type="spellStart"/>
      <w:r w:rsidRPr="00C91C1F">
        <w:t>Cybersecurity</w:t>
      </w:r>
      <w:proofErr w:type="spellEnd"/>
      <w:r w:rsidRPr="00C91C1F">
        <w:t xml:space="preserve"> </w:t>
      </w:r>
      <w:proofErr w:type="spellStart"/>
      <w:r w:rsidRPr="00C91C1F">
        <w:t>Leadership</w:t>
      </w:r>
      <w:proofErr w:type="spellEnd"/>
      <w:r w:rsidRPr="00C91C1F">
        <w:t xml:space="preserve"> – role, obowiązki, komunikacja</w:t>
      </w:r>
      <w:r>
        <w:t>.</w:t>
      </w:r>
    </w:p>
    <w:p w14:paraId="1819CE3E" w14:textId="6FC9EDAF" w:rsidR="00C91C1F" w:rsidRPr="00C91C1F" w:rsidRDefault="00C91C1F" w:rsidP="004914AB">
      <w:pPr>
        <w:pStyle w:val="Akapitzlist"/>
        <w:numPr>
          <w:ilvl w:val="1"/>
          <w:numId w:val="21"/>
        </w:numPr>
        <w:spacing w:after="0" w:line="276" w:lineRule="auto"/>
        <w:jc w:val="both"/>
      </w:pPr>
      <w:r w:rsidRPr="00C91C1F">
        <w:t xml:space="preserve">Control </w:t>
      </w:r>
      <w:proofErr w:type="spellStart"/>
      <w:r w:rsidRPr="00C91C1F">
        <w:t>Types</w:t>
      </w:r>
      <w:proofErr w:type="spellEnd"/>
      <w:r w:rsidRPr="00C91C1F">
        <w:t xml:space="preserve"> and </w:t>
      </w:r>
      <w:proofErr w:type="spellStart"/>
      <w:r w:rsidRPr="00C91C1F">
        <w:t>Methods</w:t>
      </w:r>
      <w:proofErr w:type="spellEnd"/>
      <w:r w:rsidRPr="00C91C1F">
        <w:t xml:space="preserve"> – prewencyjne, detekcyjne, korekcyjne</w:t>
      </w:r>
      <w:r>
        <w:t>.</w:t>
      </w:r>
    </w:p>
    <w:p w14:paraId="3109DFFD" w14:textId="30B0430B" w:rsidR="00C91C1F" w:rsidRPr="00C91C1F" w:rsidRDefault="00C91C1F" w:rsidP="004914AB">
      <w:pPr>
        <w:pStyle w:val="Akapitzlist"/>
        <w:numPr>
          <w:ilvl w:val="1"/>
          <w:numId w:val="21"/>
        </w:numPr>
        <w:spacing w:after="0" w:line="276" w:lineRule="auto"/>
        <w:jc w:val="both"/>
      </w:pPr>
      <w:proofErr w:type="spellStart"/>
      <w:r w:rsidRPr="00C91C1F">
        <w:t>Patch</w:t>
      </w:r>
      <w:proofErr w:type="spellEnd"/>
      <w:r w:rsidRPr="00C91C1F">
        <w:t xml:space="preserve"> Management – planowanie, wdrażanie, ryzyko związane z łatami</w:t>
      </w:r>
      <w:r>
        <w:t>.</w:t>
      </w:r>
    </w:p>
    <w:p w14:paraId="62E2C0FA" w14:textId="18B7EAEE" w:rsidR="00C91C1F" w:rsidRPr="00C91C1F" w:rsidRDefault="00C91C1F" w:rsidP="004914AB">
      <w:pPr>
        <w:pStyle w:val="Akapitzlist"/>
        <w:numPr>
          <w:ilvl w:val="0"/>
          <w:numId w:val="21"/>
        </w:numPr>
        <w:spacing w:after="0" w:line="276" w:lineRule="auto"/>
        <w:jc w:val="both"/>
      </w:pPr>
      <w:r w:rsidRPr="00C91C1F">
        <w:t xml:space="preserve">Wprowadzenie do wywiadu i </w:t>
      </w:r>
      <w:r>
        <w:t xml:space="preserve">rozpoznawania </w:t>
      </w:r>
      <w:r w:rsidRPr="00C91C1F">
        <w:t>zagrożeń</w:t>
      </w:r>
      <w:r>
        <w:t>:</w:t>
      </w:r>
    </w:p>
    <w:p w14:paraId="30122F62" w14:textId="65D3FE62"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Threat Intelligence &amp; Threat Hunting – </w:t>
      </w:r>
      <w:proofErr w:type="spellStart"/>
      <w:r w:rsidRPr="003D7F95">
        <w:rPr>
          <w:lang w:val="en-US"/>
        </w:rPr>
        <w:t>źródła</w:t>
      </w:r>
      <w:proofErr w:type="spellEnd"/>
      <w:r w:rsidRPr="003D7F95">
        <w:rPr>
          <w:lang w:val="en-US"/>
        </w:rPr>
        <w:t xml:space="preserve">, </w:t>
      </w:r>
      <w:proofErr w:type="spellStart"/>
      <w:r w:rsidRPr="003D7F95">
        <w:rPr>
          <w:lang w:val="en-US"/>
        </w:rPr>
        <w:t>cykle</w:t>
      </w:r>
      <w:proofErr w:type="spellEnd"/>
      <w:r w:rsidRPr="003D7F95">
        <w:rPr>
          <w:lang w:val="en-US"/>
        </w:rPr>
        <w:t xml:space="preserve"> </w:t>
      </w:r>
      <w:proofErr w:type="spellStart"/>
      <w:r w:rsidRPr="003D7F95">
        <w:rPr>
          <w:lang w:val="en-US"/>
        </w:rPr>
        <w:t>życia</w:t>
      </w:r>
      <w:proofErr w:type="spellEnd"/>
      <w:r w:rsidRPr="003D7F95">
        <w:rPr>
          <w:lang w:val="en-US"/>
        </w:rPr>
        <w:t xml:space="preserve">, </w:t>
      </w:r>
      <w:proofErr w:type="spellStart"/>
      <w:r w:rsidRPr="003D7F95">
        <w:rPr>
          <w:lang w:val="en-US"/>
        </w:rPr>
        <w:t>modele</w:t>
      </w:r>
      <w:proofErr w:type="spellEnd"/>
      <w:r w:rsidRPr="003D7F95">
        <w:rPr>
          <w:lang w:val="en-US"/>
        </w:rPr>
        <w:t>.</w:t>
      </w:r>
    </w:p>
    <w:p w14:paraId="44B0800B" w14:textId="62BC6268" w:rsidR="00C91C1F" w:rsidRPr="00C91C1F" w:rsidRDefault="00C91C1F" w:rsidP="004914AB">
      <w:pPr>
        <w:pStyle w:val="Akapitzlist"/>
        <w:numPr>
          <w:ilvl w:val="1"/>
          <w:numId w:val="21"/>
        </w:numPr>
        <w:spacing w:after="0" w:line="276" w:lineRule="auto"/>
        <w:jc w:val="both"/>
      </w:pPr>
      <w:proofErr w:type="spellStart"/>
      <w:r w:rsidRPr="00C91C1F">
        <w:t>Threat</w:t>
      </w:r>
      <w:proofErr w:type="spellEnd"/>
      <w:r w:rsidRPr="00C91C1F">
        <w:t xml:space="preserve"> </w:t>
      </w:r>
      <w:proofErr w:type="spellStart"/>
      <w:r w:rsidRPr="00C91C1F">
        <w:t>Actor</w:t>
      </w:r>
      <w:proofErr w:type="spellEnd"/>
      <w:r w:rsidRPr="00C91C1F">
        <w:t xml:space="preserve"> </w:t>
      </w:r>
      <w:proofErr w:type="spellStart"/>
      <w:r w:rsidRPr="00C91C1F">
        <w:t>Types</w:t>
      </w:r>
      <w:proofErr w:type="spellEnd"/>
      <w:r w:rsidRPr="00C91C1F">
        <w:t xml:space="preserve"> – APT, skrypty, </w:t>
      </w:r>
      <w:proofErr w:type="spellStart"/>
      <w:r w:rsidRPr="00C91C1F">
        <w:t>insiderzy</w:t>
      </w:r>
      <w:proofErr w:type="spellEnd"/>
      <w:r w:rsidRPr="00C91C1F">
        <w:t>, grupy przestępcze</w:t>
      </w:r>
      <w:r>
        <w:t>.</w:t>
      </w:r>
    </w:p>
    <w:p w14:paraId="422CFDBD" w14:textId="02F40DA6" w:rsidR="00C91C1F" w:rsidRPr="00C91C1F" w:rsidRDefault="00C91C1F" w:rsidP="004914AB">
      <w:pPr>
        <w:pStyle w:val="Akapitzlist"/>
        <w:numPr>
          <w:ilvl w:val="1"/>
          <w:numId w:val="21"/>
        </w:numPr>
        <w:spacing w:after="0" w:line="276" w:lineRule="auto"/>
        <w:jc w:val="both"/>
      </w:pPr>
      <w:r w:rsidRPr="00C91C1F">
        <w:t xml:space="preserve">Active </w:t>
      </w:r>
      <w:proofErr w:type="spellStart"/>
      <w:r w:rsidRPr="00C91C1F">
        <w:t>Threats</w:t>
      </w:r>
      <w:proofErr w:type="spellEnd"/>
      <w:r w:rsidRPr="00C91C1F">
        <w:t xml:space="preserve"> – jak je rozpoznać i jak reagować</w:t>
      </w:r>
      <w:r>
        <w:t>.</w:t>
      </w:r>
    </w:p>
    <w:p w14:paraId="530F0A09" w14:textId="0EE42129" w:rsidR="00C91C1F" w:rsidRPr="00C91C1F" w:rsidRDefault="00C91C1F" w:rsidP="004914AB">
      <w:pPr>
        <w:pStyle w:val="Akapitzlist"/>
        <w:numPr>
          <w:ilvl w:val="0"/>
          <w:numId w:val="21"/>
        </w:numPr>
        <w:spacing w:after="0" w:line="276" w:lineRule="auto"/>
        <w:jc w:val="both"/>
      </w:pPr>
      <w:r w:rsidRPr="00C91C1F">
        <w:t>Architektura i bezpieczeństwo systemów</w:t>
      </w:r>
      <w:r>
        <w:t>:</w:t>
      </w:r>
    </w:p>
    <w:p w14:paraId="0300D4F6" w14:textId="3783E816"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Network and System Architecture – </w:t>
      </w:r>
      <w:proofErr w:type="spellStart"/>
      <w:r w:rsidRPr="003D7F95">
        <w:rPr>
          <w:lang w:val="en-US"/>
        </w:rPr>
        <w:t>komponenty</w:t>
      </w:r>
      <w:proofErr w:type="spellEnd"/>
      <w:r w:rsidRPr="003D7F95">
        <w:rPr>
          <w:lang w:val="en-US"/>
        </w:rPr>
        <w:t xml:space="preserve">, </w:t>
      </w:r>
      <w:proofErr w:type="spellStart"/>
      <w:r w:rsidRPr="003D7F95">
        <w:rPr>
          <w:lang w:val="en-US"/>
        </w:rPr>
        <w:t>segmentacja</w:t>
      </w:r>
      <w:proofErr w:type="spellEnd"/>
      <w:r w:rsidRPr="003D7F95">
        <w:rPr>
          <w:lang w:val="en-US"/>
        </w:rPr>
        <w:t>, DMZ.</w:t>
      </w:r>
    </w:p>
    <w:p w14:paraId="51F6A51A" w14:textId="5A6B62D1" w:rsidR="00C91C1F" w:rsidRPr="003D7F95" w:rsidRDefault="00C91C1F" w:rsidP="004914AB">
      <w:pPr>
        <w:pStyle w:val="Akapitzlist"/>
        <w:numPr>
          <w:ilvl w:val="1"/>
          <w:numId w:val="21"/>
        </w:numPr>
        <w:spacing w:after="0" w:line="276" w:lineRule="auto"/>
        <w:jc w:val="both"/>
        <w:rPr>
          <w:lang w:val="en-US"/>
        </w:rPr>
      </w:pPr>
      <w:r w:rsidRPr="003D7F95">
        <w:rPr>
          <w:lang w:val="en-US"/>
        </w:rPr>
        <w:t>Identity and Access Management (IAM) – AAA, SSO, MFA.</w:t>
      </w:r>
    </w:p>
    <w:p w14:paraId="7E28B813" w14:textId="64BAC90F" w:rsidR="00C91C1F" w:rsidRPr="00C91C1F" w:rsidRDefault="00C91C1F" w:rsidP="004914AB">
      <w:pPr>
        <w:pStyle w:val="Akapitzlist"/>
        <w:numPr>
          <w:ilvl w:val="1"/>
          <w:numId w:val="21"/>
        </w:numPr>
        <w:spacing w:after="0" w:line="276" w:lineRule="auto"/>
        <w:jc w:val="both"/>
      </w:pPr>
      <w:proofErr w:type="spellStart"/>
      <w:r w:rsidRPr="00C91C1F">
        <w:t>Operational</w:t>
      </w:r>
      <w:proofErr w:type="spellEnd"/>
      <w:r w:rsidRPr="00C91C1F">
        <w:t xml:space="preserve"> </w:t>
      </w:r>
      <w:proofErr w:type="spellStart"/>
      <w:r w:rsidRPr="00C91C1F">
        <w:t>Visibility</w:t>
      </w:r>
      <w:proofErr w:type="spellEnd"/>
      <w:r w:rsidRPr="00C91C1F">
        <w:t xml:space="preserve"> – monitorowanie, SIEM, logi</w:t>
      </w:r>
      <w:r>
        <w:t>.</w:t>
      </w:r>
    </w:p>
    <w:p w14:paraId="16EBB726" w14:textId="1897B414" w:rsidR="00C91C1F" w:rsidRPr="00C91C1F" w:rsidRDefault="00C91C1F" w:rsidP="004914AB">
      <w:pPr>
        <w:pStyle w:val="Akapitzlist"/>
        <w:numPr>
          <w:ilvl w:val="0"/>
          <w:numId w:val="21"/>
        </w:numPr>
        <w:spacing w:after="0" w:line="276" w:lineRule="auto"/>
        <w:jc w:val="both"/>
      </w:pPr>
      <w:r w:rsidRPr="00C91C1F">
        <w:t>Doskonalenie procesów operacyjnych</w:t>
      </w:r>
      <w:r>
        <w:t>:</w:t>
      </w:r>
    </w:p>
    <w:p w14:paraId="6BDDE1B4" w14:textId="57F74712" w:rsidR="00C91C1F" w:rsidRPr="00C91C1F" w:rsidRDefault="00C91C1F" w:rsidP="004914AB">
      <w:pPr>
        <w:pStyle w:val="Akapitzlist"/>
        <w:numPr>
          <w:ilvl w:val="1"/>
          <w:numId w:val="21"/>
        </w:numPr>
        <w:spacing w:after="0" w:line="276" w:lineRule="auto"/>
        <w:jc w:val="both"/>
      </w:pPr>
      <w:proofErr w:type="spellStart"/>
      <w:r w:rsidRPr="00C91C1F">
        <w:t>Process</w:t>
      </w:r>
      <w:proofErr w:type="spellEnd"/>
      <w:r w:rsidRPr="00C91C1F">
        <w:t xml:space="preserve"> </w:t>
      </w:r>
      <w:proofErr w:type="spellStart"/>
      <w:r w:rsidRPr="00C91C1F">
        <w:t>Improvement</w:t>
      </w:r>
      <w:proofErr w:type="spellEnd"/>
      <w:r w:rsidRPr="00C91C1F">
        <w:t xml:space="preserve"> – metryki, KPI, ciągłe doskonalenie</w:t>
      </w:r>
      <w:r>
        <w:t>.</w:t>
      </w:r>
    </w:p>
    <w:p w14:paraId="3A28995F" w14:textId="446E6AC9" w:rsidR="00C91C1F" w:rsidRPr="00C91C1F" w:rsidRDefault="00C91C1F" w:rsidP="004914AB">
      <w:pPr>
        <w:pStyle w:val="Akapitzlist"/>
        <w:numPr>
          <w:ilvl w:val="1"/>
          <w:numId w:val="21"/>
        </w:numPr>
        <w:spacing w:after="0" w:line="276" w:lineRule="auto"/>
        <w:jc w:val="both"/>
      </w:pPr>
      <w:proofErr w:type="spellStart"/>
      <w:r w:rsidRPr="00C91C1F">
        <w:t>Leadership</w:t>
      </w:r>
      <w:proofErr w:type="spellEnd"/>
      <w:r w:rsidRPr="00C91C1F">
        <w:t xml:space="preserve"> in </w:t>
      </w:r>
      <w:proofErr w:type="spellStart"/>
      <w:r w:rsidRPr="00C91C1F">
        <w:t>SecOps</w:t>
      </w:r>
      <w:proofErr w:type="spellEnd"/>
      <w:r w:rsidRPr="00C91C1F">
        <w:t xml:space="preserve"> – zarządzanie zespołami i projektami</w:t>
      </w:r>
      <w:r>
        <w:t>.</w:t>
      </w:r>
    </w:p>
    <w:p w14:paraId="4290A967" w14:textId="5B03746A" w:rsidR="00C91C1F" w:rsidRPr="00C91C1F" w:rsidRDefault="00C91C1F" w:rsidP="004914AB">
      <w:pPr>
        <w:pStyle w:val="Akapitzlist"/>
        <w:numPr>
          <w:ilvl w:val="1"/>
          <w:numId w:val="21"/>
        </w:numPr>
        <w:spacing w:after="0" w:line="276" w:lineRule="auto"/>
        <w:jc w:val="both"/>
      </w:pPr>
      <w:r w:rsidRPr="00C91C1F">
        <w:t xml:space="preserve">Security Technology </w:t>
      </w:r>
      <w:proofErr w:type="spellStart"/>
      <w:r w:rsidRPr="00C91C1F">
        <w:t>Stack</w:t>
      </w:r>
      <w:proofErr w:type="spellEnd"/>
      <w:r w:rsidRPr="00C91C1F">
        <w:t xml:space="preserve"> – przegląd narzędzi (EDR, NDR, DLP, itd.)</w:t>
      </w:r>
      <w:r>
        <w:t>.</w:t>
      </w:r>
    </w:p>
    <w:p w14:paraId="42BFB0BB" w14:textId="18E300E5" w:rsidR="00C91C1F" w:rsidRPr="00C91C1F" w:rsidRDefault="00C91C1F" w:rsidP="004914AB">
      <w:pPr>
        <w:pStyle w:val="Akapitzlist"/>
        <w:numPr>
          <w:ilvl w:val="0"/>
          <w:numId w:val="21"/>
        </w:numPr>
        <w:spacing w:after="0" w:line="276" w:lineRule="auto"/>
        <w:jc w:val="both"/>
      </w:pPr>
      <w:r w:rsidRPr="00C91C1F">
        <w:lastRenderedPageBreak/>
        <w:t>Skany podatności i zgodność</w:t>
      </w:r>
      <w:r>
        <w:t>:</w:t>
      </w:r>
    </w:p>
    <w:p w14:paraId="4EEBC761" w14:textId="4C6DF166"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Implementing Vulnerability Scanning – </w:t>
      </w:r>
      <w:proofErr w:type="spellStart"/>
      <w:r w:rsidRPr="003D7F95">
        <w:rPr>
          <w:lang w:val="en-US"/>
        </w:rPr>
        <w:t>skanery</w:t>
      </w:r>
      <w:proofErr w:type="spellEnd"/>
      <w:r w:rsidRPr="003D7F95">
        <w:rPr>
          <w:lang w:val="en-US"/>
        </w:rPr>
        <w:t xml:space="preserve">, </w:t>
      </w:r>
      <w:proofErr w:type="spellStart"/>
      <w:r w:rsidRPr="003D7F95">
        <w:rPr>
          <w:lang w:val="en-US"/>
        </w:rPr>
        <w:t>harmonogramy</w:t>
      </w:r>
      <w:proofErr w:type="spellEnd"/>
      <w:r w:rsidRPr="003D7F95">
        <w:rPr>
          <w:lang w:val="en-US"/>
        </w:rPr>
        <w:t xml:space="preserve">, </w:t>
      </w:r>
      <w:proofErr w:type="spellStart"/>
      <w:r w:rsidRPr="003D7F95">
        <w:rPr>
          <w:lang w:val="en-US"/>
        </w:rPr>
        <w:t>targety</w:t>
      </w:r>
      <w:proofErr w:type="spellEnd"/>
      <w:r w:rsidRPr="003D7F95">
        <w:rPr>
          <w:lang w:val="en-US"/>
        </w:rPr>
        <w:t>.</w:t>
      </w:r>
    </w:p>
    <w:p w14:paraId="464CBF16" w14:textId="30D2AF25" w:rsidR="00C91C1F" w:rsidRPr="003D7F95" w:rsidRDefault="00C91C1F" w:rsidP="004914AB">
      <w:pPr>
        <w:pStyle w:val="Akapitzlist"/>
        <w:numPr>
          <w:ilvl w:val="1"/>
          <w:numId w:val="21"/>
        </w:numPr>
        <w:spacing w:after="0" w:line="276" w:lineRule="auto"/>
        <w:jc w:val="both"/>
        <w:rPr>
          <w:lang w:val="en-US"/>
        </w:rPr>
      </w:pPr>
      <w:r w:rsidRPr="003D7F95">
        <w:rPr>
          <w:lang w:val="en-US"/>
        </w:rPr>
        <w:t>Compliance Requirements – NIST, ISO, PCI-DSS, GDPR.</w:t>
      </w:r>
    </w:p>
    <w:p w14:paraId="094B8996" w14:textId="1D95F729" w:rsidR="00C91C1F" w:rsidRPr="00C91C1F" w:rsidRDefault="00C91C1F" w:rsidP="004914AB">
      <w:pPr>
        <w:pStyle w:val="Akapitzlist"/>
        <w:numPr>
          <w:ilvl w:val="1"/>
          <w:numId w:val="21"/>
        </w:numPr>
        <w:spacing w:after="0" w:line="276" w:lineRule="auto"/>
        <w:jc w:val="both"/>
      </w:pPr>
      <w:r w:rsidRPr="00C91C1F">
        <w:t xml:space="preserve">Special </w:t>
      </w:r>
      <w:proofErr w:type="spellStart"/>
      <w:r w:rsidRPr="00C91C1F">
        <w:t>Considerations</w:t>
      </w:r>
      <w:proofErr w:type="spellEnd"/>
      <w:r w:rsidRPr="00C91C1F">
        <w:t xml:space="preserve"> – systemy przemysłowe, chmura, zdalni pracownicy</w:t>
      </w:r>
      <w:r>
        <w:t>.</w:t>
      </w:r>
    </w:p>
    <w:p w14:paraId="31E9E3C2" w14:textId="3ABDE0C1" w:rsidR="00C91C1F" w:rsidRPr="00C91C1F" w:rsidRDefault="00C91C1F" w:rsidP="004914AB">
      <w:pPr>
        <w:pStyle w:val="Akapitzlist"/>
        <w:numPr>
          <w:ilvl w:val="0"/>
          <w:numId w:val="21"/>
        </w:numPr>
        <w:spacing w:after="0" w:line="276" w:lineRule="auto"/>
        <w:jc w:val="both"/>
      </w:pPr>
      <w:r w:rsidRPr="00C91C1F">
        <w:t>Analiza i ocena podatności</w:t>
      </w:r>
      <w:r>
        <w:t>:</w:t>
      </w:r>
    </w:p>
    <w:p w14:paraId="74D36004" w14:textId="1EF18A74" w:rsidR="00C91C1F" w:rsidRPr="00C91C1F" w:rsidRDefault="00C91C1F" w:rsidP="004914AB">
      <w:pPr>
        <w:pStyle w:val="Akapitzlist"/>
        <w:numPr>
          <w:ilvl w:val="1"/>
          <w:numId w:val="21"/>
        </w:numPr>
        <w:spacing w:after="0" w:line="276" w:lineRule="auto"/>
        <w:jc w:val="both"/>
      </w:pPr>
      <w:r w:rsidRPr="00C91C1F">
        <w:t xml:space="preserve">Performing </w:t>
      </w:r>
      <w:proofErr w:type="spellStart"/>
      <w:r w:rsidRPr="00C91C1F">
        <w:t>Vulnerability</w:t>
      </w:r>
      <w:proofErr w:type="spellEnd"/>
      <w:r w:rsidRPr="00C91C1F">
        <w:t xml:space="preserve"> Analysis – interpretacja wyników skanów</w:t>
      </w:r>
      <w:r>
        <w:t>.</w:t>
      </w:r>
    </w:p>
    <w:p w14:paraId="6C1771C9" w14:textId="3359396A" w:rsidR="00C91C1F" w:rsidRPr="00C91C1F" w:rsidRDefault="00C91C1F" w:rsidP="004914AB">
      <w:pPr>
        <w:pStyle w:val="Akapitzlist"/>
        <w:numPr>
          <w:ilvl w:val="1"/>
          <w:numId w:val="21"/>
        </w:numPr>
        <w:spacing w:after="0" w:line="276" w:lineRule="auto"/>
        <w:jc w:val="both"/>
      </w:pPr>
      <w:proofErr w:type="spellStart"/>
      <w:r w:rsidRPr="00C91C1F">
        <w:t>Vulnerability</w:t>
      </w:r>
      <w:proofErr w:type="spellEnd"/>
      <w:r w:rsidRPr="00C91C1F">
        <w:t xml:space="preserve"> </w:t>
      </w:r>
      <w:proofErr w:type="spellStart"/>
      <w:r w:rsidRPr="00C91C1F">
        <w:t>Scoring</w:t>
      </w:r>
      <w:proofErr w:type="spellEnd"/>
      <w:r w:rsidRPr="00C91C1F">
        <w:t xml:space="preserve"> – CVSS, kontekst organizacyjny</w:t>
      </w:r>
      <w:r>
        <w:t>.</w:t>
      </w:r>
    </w:p>
    <w:p w14:paraId="5A75216E" w14:textId="18C0468E" w:rsidR="00C91C1F" w:rsidRPr="00C91C1F" w:rsidRDefault="00C91C1F" w:rsidP="004914AB">
      <w:pPr>
        <w:pStyle w:val="Akapitzlist"/>
        <w:numPr>
          <w:ilvl w:val="1"/>
          <w:numId w:val="21"/>
        </w:numPr>
        <w:spacing w:after="0" w:line="276" w:lineRule="auto"/>
        <w:jc w:val="both"/>
      </w:pPr>
      <w:proofErr w:type="spellStart"/>
      <w:r w:rsidRPr="00C91C1F">
        <w:t>Communicating</w:t>
      </w:r>
      <w:proofErr w:type="spellEnd"/>
      <w:r w:rsidRPr="00C91C1F">
        <w:t xml:space="preserve"> </w:t>
      </w:r>
      <w:proofErr w:type="spellStart"/>
      <w:r w:rsidRPr="00C91C1F">
        <w:t>Vulnerability</w:t>
      </w:r>
      <w:proofErr w:type="spellEnd"/>
      <w:r w:rsidRPr="00C91C1F">
        <w:t xml:space="preserve"> Info – raportowanie, rekomendacje, </w:t>
      </w:r>
      <w:r>
        <w:t>priorytetyzacji.</w:t>
      </w:r>
    </w:p>
    <w:p w14:paraId="3E13D230" w14:textId="7AE7B270" w:rsidR="00C91C1F" w:rsidRPr="00C91C1F" w:rsidRDefault="00C91C1F" w:rsidP="004914AB">
      <w:pPr>
        <w:pStyle w:val="Akapitzlist"/>
        <w:numPr>
          <w:ilvl w:val="0"/>
          <w:numId w:val="21"/>
        </w:numPr>
        <w:spacing w:after="0" w:line="276" w:lineRule="auto"/>
        <w:jc w:val="both"/>
      </w:pPr>
      <w:r w:rsidRPr="00C91C1F">
        <w:t>Planowanie i działania IR (</w:t>
      </w:r>
      <w:proofErr w:type="spellStart"/>
      <w:r w:rsidRPr="00C91C1F">
        <w:t>Incident</w:t>
      </w:r>
      <w:proofErr w:type="spellEnd"/>
      <w:r w:rsidRPr="00C91C1F">
        <w:t xml:space="preserve"> </w:t>
      </w:r>
      <w:proofErr w:type="spellStart"/>
      <w:r w:rsidRPr="00C91C1F">
        <w:t>Response</w:t>
      </w:r>
      <w:proofErr w:type="spellEnd"/>
      <w:r w:rsidRPr="00C91C1F">
        <w:t>)</w:t>
      </w:r>
      <w:r>
        <w:t>:</w:t>
      </w:r>
    </w:p>
    <w:p w14:paraId="19735368" w14:textId="77777777" w:rsidR="00C91C1F" w:rsidRPr="00C91C1F" w:rsidRDefault="00C91C1F" w:rsidP="004914AB">
      <w:pPr>
        <w:pStyle w:val="Akapitzlist"/>
        <w:numPr>
          <w:ilvl w:val="1"/>
          <w:numId w:val="21"/>
        </w:numPr>
        <w:spacing w:after="0" w:line="276" w:lineRule="auto"/>
        <w:jc w:val="both"/>
      </w:pPr>
      <w:proofErr w:type="spellStart"/>
      <w:r w:rsidRPr="00C91C1F">
        <w:t>Incident</w:t>
      </w:r>
      <w:proofErr w:type="spellEnd"/>
      <w:r w:rsidRPr="00C91C1F">
        <w:t xml:space="preserve"> </w:t>
      </w:r>
      <w:proofErr w:type="spellStart"/>
      <w:r w:rsidRPr="00C91C1F">
        <w:t>Response</w:t>
      </w:r>
      <w:proofErr w:type="spellEnd"/>
      <w:r w:rsidRPr="00C91C1F">
        <w:t xml:space="preserve"> </w:t>
      </w:r>
      <w:proofErr w:type="spellStart"/>
      <w:r w:rsidRPr="00C91C1F">
        <w:t>Activities</w:t>
      </w:r>
      <w:proofErr w:type="spellEnd"/>
      <w:r w:rsidRPr="00C91C1F">
        <w:t xml:space="preserve"> – etapy IR: przygotowanie, wykrycie, reakcja itd.</w:t>
      </w:r>
    </w:p>
    <w:p w14:paraId="785379B2" w14:textId="199A9B4A"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Incident Response Planning – </w:t>
      </w:r>
      <w:proofErr w:type="spellStart"/>
      <w:r w:rsidRPr="003D7F95">
        <w:rPr>
          <w:lang w:val="en-US"/>
        </w:rPr>
        <w:t>playbooki</w:t>
      </w:r>
      <w:proofErr w:type="spellEnd"/>
      <w:r w:rsidRPr="003D7F95">
        <w:rPr>
          <w:lang w:val="en-US"/>
        </w:rPr>
        <w:t xml:space="preserve">, </w:t>
      </w:r>
      <w:proofErr w:type="spellStart"/>
      <w:r w:rsidRPr="003D7F95">
        <w:rPr>
          <w:lang w:val="en-US"/>
        </w:rPr>
        <w:t>runbooki</w:t>
      </w:r>
      <w:proofErr w:type="spellEnd"/>
      <w:r w:rsidRPr="003D7F95">
        <w:rPr>
          <w:lang w:val="en-US"/>
        </w:rPr>
        <w:t xml:space="preserve">, </w:t>
      </w:r>
      <w:proofErr w:type="spellStart"/>
      <w:r w:rsidRPr="003D7F95">
        <w:rPr>
          <w:lang w:val="en-US"/>
        </w:rPr>
        <w:t>symulacje</w:t>
      </w:r>
      <w:proofErr w:type="spellEnd"/>
      <w:r w:rsidRPr="003D7F95">
        <w:rPr>
          <w:lang w:val="en-US"/>
        </w:rPr>
        <w:t>.</w:t>
      </w:r>
    </w:p>
    <w:p w14:paraId="3570955B" w14:textId="5B442559" w:rsidR="00C91C1F" w:rsidRPr="00C91C1F" w:rsidRDefault="00C91C1F" w:rsidP="004914AB">
      <w:pPr>
        <w:pStyle w:val="Akapitzlist"/>
        <w:numPr>
          <w:ilvl w:val="1"/>
          <w:numId w:val="21"/>
        </w:numPr>
        <w:spacing w:after="0" w:line="276" w:lineRule="auto"/>
        <w:jc w:val="both"/>
      </w:pPr>
      <w:r w:rsidRPr="00C91C1F">
        <w:t>Performing IR – narzędzia, procedury, role zespołów</w:t>
      </w:r>
      <w:r>
        <w:t>.</w:t>
      </w:r>
    </w:p>
    <w:p w14:paraId="3B1E88EB" w14:textId="0D61C5A3" w:rsidR="00C91C1F" w:rsidRPr="00C91C1F" w:rsidRDefault="00C91C1F" w:rsidP="004914AB">
      <w:pPr>
        <w:pStyle w:val="Akapitzlist"/>
        <w:numPr>
          <w:ilvl w:val="0"/>
          <w:numId w:val="21"/>
        </w:numPr>
        <w:spacing w:after="0" w:line="276" w:lineRule="auto"/>
        <w:jc w:val="both"/>
      </w:pPr>
      <w:r w:rsidRPr="00C91C1F">
        <w:t>Komunikacja w sytuacjach kryzysowych</w:t>
      </w:r>
      <w:r>
        <w:t>:</w:t>
      </w:r>
    </w:p>
    <w:p w14:paraId="1D777671" w14:textId="0221D8EA" w:rsidR="00C91C1F" w:rsidRPr="00C91C1F" w:rsidRDefault="00C91C1F" w:rsidP="004914AB">
      <w:pPr>
        <w:pStyle w:val="Akapitzlist"/>
        <w:numPr>
          <w:ilvl w:val="1"/>
          <w:numId w:val="21"/>
        </w:numPr>
        <w:spacing w:after="0" w:line="276" w:lineRule="auto"/>
        <w:jc w:val="both"/>
      </w:pPr>
      <w:proofErr w:type="spellStart"/>
      <w:r w:rsidRPr="00C91C1F">
        <w:t>Effective</w:t>
      </w:r>
      <w:proofErr w:type="spellEnd"/>
      <w:r w:rsidRPr="00C91C1F">
        <w:t xml:space="preserve"> </w:t>
      </w:r>
      <w:proofErr w:type="spellStart"/>
      <w:r w:rsidRPr="00C91C1F">
        <w:t>Communication</w:t>
      </w:r>
      <w:proofErr w:type="spellEnd"/>
      <w:r w:rsidRPr="00C91C1F">
        <w:t xml:space="preserve"> – w czasie incydentu i po nim</w:t>
      </w:r>
      <w:r w:rsidR="00A74C3D">
        <w:t>.</w:t>
      </w:r>
    </w:p>
    <w:p w14:paraId="0B078314" w14:textId="776894D0"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Reporting Outcomes – </w:t>
      </w:r>
      <w:proofErr w:type="spellStart"/>
      <w:r w:rsidRPr="003D7F95">
        <w:rPr>
          <w:lang w:val="en-US"/>
        </w:rPr>
        <w:t>dokumentacja</w:t>
      </w:r>
      <w:proofErr w:type="spellEnd"/>
      <w:r w:rsidRPr="003D7F95">
        <w:rPr>
          <w:lang w:val="en-US"/>
        </w:rPr>
        <w:t>, lessons learned</w:t>
      </w:r>
      <w:r w:rsidR="00A74C3D" w:rsidRPr="003D7F95">
        <w:rPr>
          <w:lang w:val="en-US"/>
        </w:rPr>
        <w:t>.</w:t>
      </w:r>
    </w:p>
    <w:p w14:paraId="3A3C4852" w14:textId="0BD14C4B" w:rsidR="00C91C1F" w:rsidRPr="00C91C1F" w:rsidRDefault="00C91C1F" w:rsidP="004914AB">
      <w:pPr>
        <w:pStyle w:val="Akapitzlist"/>
        <w:numPr>
          <w:ilvl w:val="1"/>
          <w:numId w:val="21"/>
        </w:numPr>
        <w:spacing w:after="0" w:line="276" w:lineRule="auto"/>
        <w:jc w:val="both"/>
      </w:pPr>
      <w:r w:rsidRPr="00C91C1F">
        <w:t xml:space="preserve">Action </w:t>
      </w:r>
      <w:proofErr w:type="spellStart"/>
      <w:r w:rsidRPr="00C91C1F">
        <w:t>Plans</w:t>
      </w:r>
      <w:proofErr w:type="spellEnd"/>
      <w:r w:rsidRPr="00C91C1F">
        <w:t xml:space="preserve"> – działania naprawcze i prewencyjne</w:t>
      </w:r>
      <w:r w:rsidR="00A74C3D">
        <w:t>.</w:t>
      </w:r>
    </w:p>
    <w:p w14:paraId="0651CB63" w14:textId="678B4B78" w:rsidR="00C91C1F" w:rsidRPr="00C91C1F" w:rsidRDefault="00C91C1F" w:rsidP="004914AB">
      <w:pPr>
        <w:pStyle w:val="Akapitzlist"/>
        <w:numPr>
          <w:ilvl w:val="0"/>
          <w:numId w:val="21"/>
        </w:numPr>
        <w:spacing w:after="0" w:line="276" w:lineRule="auto"/>
        <w:jc w:val="both"/>
      </w:pPr>
      <w:r w:rsidRPr="00C91C1F">
        <w:t>Wykrywanie i analiza złośliwej aktywności</w:t>
      </w:r>
      <w:r w:rsidR="00A74C3D">
        <w:t>:</w:t>
      </w:r>
    </w:p>
    <w:p w14:paraId="0AF441ED" w14:textId="316F09A2" w:rsidR="00C91C1F" w:rsidRPr="003D7F95" w:rsidRDefault="00C91C1F" w:rsidP="004914AB">
      <w:pPr>
        <w:pStyle w:val="Akapitzlist"/>
        <w:numPr>
          <w:ilvl w:val="1"/>
          <w:numId w:val="21"/>
        </w:numPr>
        <w:spacing w:after="0" w:line="276" w:lineRule="auto"/>
        <w:jc w:val="both"/>
        <w:rPr>
          <w:lang w:val="en-US"/>
        </w:rPr>
      </w:pPr>
      <w:r w:rsidRPr="003D7F95">
        <w:rPr>
          <w:lang w:val="en-US"/>
        </w:rPr>
        <w:t>Tools for Identifying Malicious Activity – IDS, SIEM, sandboxing</w:t>
      </w:r>
      <w:r w:rsidR="00A74C3D" w:rsidRPr="003D7F95">
        <w:rPr>
          <w:lang w:val="en-US"/>
        </w:rPr>
        <w:t>.</w:t>
      </w:r>
    </w:p>
    <w:p w14:paraId="5791D3F9" w14:textId="69F68591" w:rsidR="00C91C1F" w:rsidRPr="003D7F95" w:rsidRDefault="00C91C1F" w:rsidP="004914AB">
      <w:pPr>
        <w:pStyle w:val="Akapitzlist"/>
        <w:numPr>
          <w:ilvl w:val="1"/>
          <w:numId w:val="21"/>
        </w:numPr>
        <w:spacing w:after="0" w:line="276" w:lineRule="auto"/>
        <w:jc w:val="both"/>
        <w:rPr>
          <w:lang w:val="en-US"/>
        </w:rPr>
      </w:pPr>
      <w:r w:rsidRPr="003D7F95">
        <w:rPr>
          <w:lang w:val="en-US"/>
        </w:rPr>
        <w:t>Attack Methodologies – MITRE ATT&amp;CK, Cyber Kill Chain</w:t>
      </w:r>
      <w:r w:rsidR="00A74C3D" w:rsidRPr="003D7F95">
        <w:rPr>
          <w:lang w:val="en-US"/>
        </w:rPr>
        <w:t>.</w:t>
      </w:r>
    </w:p>
    <w:p w14:paraId="107DDE1D" w14:textId="292E22B7" w:rsidR="00C91C1F" w:rsidRPr="00C91C1F" w:rsidRDefault="00C91C1F" w:rsidP="004914AB">
      <w:pPr>
        <w:pStyle w:val="Akapitzlist"/>
        <w:numPr>
          <w:ilvl w:val="1"/>
          <w:numId w:val="21"/>
        </w:numPr>
        <w:spacing w:after="0" w:line="276" w:lineRule="auto"/>
        <w:jc w:val="both"/>
      </w:pPr>
      <w:proofErr w:type="spellStart"/>
      <w:r w:rsidRPr="00C91C1F">
        <w:t>Techniques</w:t>
      </w:r>
      <w:proofErr w:type="spellEnd"/>
      <w:r w:rsidRPr="00C91C1F">
        <w:t xml:space="preserve"> for Analysis – korelacja, analiza heurystyczna</w:t>
      </w:r>
      <w:r w:rsidR="00A74C3D">
        <w:t>.</w:t>
      </w:r>
    </w:p>
    <w:p w14:paraId="47BEAC2B" w14:textId="65DB18DB" w:rsidR="00C91C1F" w:rsidRPr="00C91C1F" w:rsidRDefault="00C91C1F" w:rsidP="004914AB">
      <w:pPr>
        <w:pStyle w:val="Akapitzlist"/>
        <w:numPr>
          <w:ilvl w:val="0"/>
          <w:numId w:val="21"/>
        </w:numPr>
        <w:spacing w:after="0" w:line="276" w:lineRule="auto"/>
        <w:jc w:val="both"/>
      </w:pPr>
      <w:r w:rsidRPr="00C91C1F">
        <w:t>Wskaźniki kompromitacji</w:t>
      </w:r>
      <w:r w:rsidR="00A74C3D">
        <w:t>:</w:t>
      </w:r>
    </w:p>
    <w:p w14:paraId="78DFB8D9" w14:textId="5E02B6DD" w:rsidR="00C91C1F" w:rsidRPr="00C91C1F" w:rsidRDefault="00C91C1F" w:rsidP="004914AB">
      <w:pPr>
        <w:pStyle w:val="Akapitzlist"/>
        <w:numPr>
          <w:ilvl w:val="1"/>
          <w:numId w:val="21"/>
        </w:numPr>
        <w:spacing w:after="0" w:line="276" w:lineRule="auto"/>
        <w:jc w:val="both"/>
      </w:pPr>
      <w:r w:rsidRPr="00C91C1F">
        <w:t xml:space="preserve">Network </w:t>
      </w:r>
      <w:proofErr w:type="spellStart"/>
      <w:r w:rsidRPr="00C91C1F">
        <w:t>Indicators</w:t>
      </w:r>
      <w:proofErr w:type="spellEnd"/>
      <w:r w:rsidRPr="00C91C1F">
        <w:t xml:space="preserve"> – nietypowy ruch, skanowanie, tunelowanie</w:t>
      </w:r>
      <w:r w:rsidR="00A74C3D">
        <w:t>.</w:t>
      </w:r>
    </w:p>
    <w:p w14:paraId="39C344C2" w14:textId="72987663" w:rsidR="00C91C1F" w:rsidRPr="00C91C1F" w:rsidRDefault="00C91C1F" w:rsidP="004914AB">
      <w:pPr>
        <w:pStyle w:val="Akapitzlist"/>
        <w:numPr>
          <w:ilvl w:val="1"/>
          <w:numId w:val="21"/>
        </w:numPr>
        <w:spacing w:after="0" w:line="276" w:lineRule="auto"/>
        <w:jc w:val="both"/>
      </w:pPr>
      <w:r w:rsidRPr="00C91C1F">
        <w:t xml:space="preserve">Host </w:t>
      </w:r>
      <w:proofErr w:type="spellStart"/>
      <w:r w:rsidRPr="00C91C1F">
        <w:t>Indicators</w:t>
      </w:r>
      <w:proofErr w:type="spellEnd"/>
      <w:r w:rsidRPr="00C91C1F">
        <w:t xml:space="preserve"> – logi, podejrzane procesy, zmiany w rejestrze</w:t>
      </w:r>
      <w:r w:rsidR="00A74C3D">
        <w:t>.</w:t>
      </w:r>
    </w:p>
    <w:p w14:paraId="13319DEC" w14:textId="0871034E"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Analysis in Practice – case studies, </w:t>
      </w:r>
      <w:proofErr w:type="spellStart"/>
      <w:r w:rsidRPr="003D7F95">
        <w:rPr>
          <w:lang w:val="en-US"/>
        </w:rPr>
        <w:t>analiza</w:t>
      </w:r>
      <w:proofErr w:type="spellEnd"/>
      <w:r w:rsidRPr="003D7F95">
        <w:rPr>
          <w:lang w:val="en-US"/>
        </w:rPr>
        <w:t xml:space="preserve"> </w:t>
      </w:r>
      <w:proofErr w:type="spellStart"/>
      <w:r w:rsidRPr="003D7F95">
        <w:rPr>
          <w:lang w:val="en-US"/>
        </w:rPr>
        <w:t>danych</w:t>
      </w:r>
      <w:proofErr w:type="spellEnd"/>
      <w:r w:rsidR="00A74C3D" w:rsidRPr="003D7F95">
        <w:rPr>
          <w:lang w:val="en-US"/>
        </w:rPr>
        <w:t>.</w:t>
      </w:r>
    </w:p>
    <w:p w14:paraId="6E09E2FF" w14:textId="2155675F" w:rsidR="00C91C1F" w:rsidRPr="00C91C1F" w:rsidRDefault="00C91C1F" w:rsidP="004914AB">
      <w:pPr>
        <w:pStyle w:val="Akapitzlist"/>
        <w:numPr>
          <w:ilvl w:val="0"/>
          <w:numId w:val="21"/>
        </w:numPr>
        <w:spacing w:after="0" w:line="276" w:lineRule="auto"/>
        <w:jc w:val="both"/>
      </w:pPr>
      <w:r w:rsidRPr="00C91C1F">
        <w:t>Analiza podatności aplikacji i chmury</w:t>
      </w:r>
      <w:r w:rsidR="00A74C3D">
        <w:t>:</w:t>
      </w:r>
    </w:p>
    <w:p w14:paraId="0C56441B" w14:textId="398D9A9B" w:rsidR="00C91C1F" w:rsidRPr="00C91C1F" w:rsidRDefault="00C91C1F" w:rsidP="004914AB">
      <w:pPr>
        <w:pStyle w:val="Akapitzlist"/>
        <w:numPr>
          <w:ilvl w:val="1"/>
          <w:numId w:val="21"/>
        </w:numPr>
        <w:spacing w:after="0" w:line="276" w:lineRule="auto"/>
        <w:jc w:val="both"/>
      </w:pPr>
      <w:proofErr w:type="spellStart"/>
      <w:r w:rsidRPr="00C91C1F">
        <w:t>Vulnerability</w:t>
      </w:r>
      <w:proofErr w:type="spellEnd"/>
      <w:r w:rsidRPr="00C91C1F">
        <w:t xml:space="preserve"> </w:t>
      </w:r>
      <w:proofErr w:type="spellStart"/>
      <w:r w:rsidRPr="00C91C1F">
        <w:t>Assessment</w:t>
      </w:r>
      <w:proofErr w:type="spellEnd"/>
      <w:r w:rsidRPr="00C91C1F">
        <w:t xml:space="preserve"> Tools – dla aplikacji, hostów, środowisk </w:t>
      </w:r>
      <w:proofErr w:type="spellStart"/>
      <w:r w:rsidRPr="00C91C1F">
        <w:t>cloud</w:t>
      </w:r>
      <w:proofErr w:type="spellEnd"/>
      <w:r w:rsidR="00A74C3D">
        <w:t>.</w:t>
      </w:r>
    </w:p>
    <w:p w14:paraId="647F6FD6" w14:textId="6D5D90EC" w:rsidR="00C91C1F" w:rsidRPr="00C91C1F" w:rsidRDefault="00C91C1F" w:rsidP="004914AB">
      <w:pPr>
        <w:pStyle w:val="Akapitzlist"/>
        <w:numPr>
          <w:ilvl w:val="1"/>
          <w:numId w:val="21"/>
        </w:numPr>
        <w:spacing w:after="0" w:line="276" w:lineRule="auto"/>
        <w:jc w:val="both"/>
      </w:pPr>
      <w:r w:rsidRPr="00C91C1F">
        <w:t xml:space="preserve">Web &amp; </w:t>
      </w:r>
      <w:proofErr w:type="spellStart"/>
      <w:r w:rsidRPr="00C91C1F">
        <w:t>Cloud</w:t>
      </w:r>
      <w:proofErr w:type="spellEnd"/>
      <w:r w:rsidRPr="00C91C1F">
        <w:t xml:space="preserve"> </w:t>
      </w:r>
      <w:proofErr w:type="spellStart"/>
      <w:r w:rsidRPr="00C91C1F">
        <w:t>Vulnerabilities</w:t>
      </w:r>
      <w:proofErr w:type="spellEnd"/>
      <w:r w:rsidRPr="00C91C1F">
        <w:t xml:space="preserve"> – OWASP Top 10, błędna konfiguracja, uprawnienia</w:t>
      </w:r>
      <w:r w:rsidR="00A74C3D">
        <w:t>.</w:t>
      </w:r>
    </w:p>
    <w:p w14:paraId="07F24F25" w14:textId="0A39FAF7" w:rsidR="00C91C1F" w:rsidRPr="003D7F95" w:rsidRDefault="00C91C1F" w:rsidP="004914AB">
      <w:pPr>
        <w:pStyle w:val="Akapitzlist"/>
        <w:numPr>
          <w:ilvl w:val="1"/>
          <w:numId w:val="21"/>
        </w:numPr>
        <w:spacing w:after="0" w:line="276" w:lineRule="auto"/>
        <w:jc w:val="both"/>
        <w:rPr>
          <w:lang w:val="en-US"/>
        </w:rPr>
      </w:pPr>
      <w:r w:rsidRPr="003D7F95">
        <w:rPr>
          <w:lang w:val="en-US"/>
        </w:rPr>
        <w:t>Application Vulnerability Assessment – DAST, SAST, IAST</w:t>
      </w:r>
      <w:r w:rsidR="00A74C3D" w:rsidRPr="003D7F95">
        <w:rPr>
          <w:lang w:val="en-US"/>
        </w:rPr>
        <w:t>.</w:t>
      </w:r>
    </w:p>
    <w:p w14:paraId="75D2EF37" w14:textId="646B6ADF" w:rsidR="00C91C1F" w:rsidRPr="00C91C1F" w:rsidRDefault="00C91C1F" w:rsidP="004914AB">
      <w:pPr>
        <w:pStyle w:val="Akapitzlist"/>
        <w:numPr>
          <w:ilvl w:val="0"/>
          <w:numId w:val="21"/>
        </w:numPr>
        <w:spacing w:after="0" w:line="276" w:lineRule="auto"/>
        <w:jc w:val="both"/>
      </w:pPr>
      <w:r w:rsidRPr="00C91C1F">
        <w:t>Scripting i analiza złośliwego kodu</w:t>
      </w:r>
      <w:r w:rsidR="00A74C3D">
        <w:t>:</w:t>
      </w:r>
    </w:p>
    <w:p w14:paraId="38301AB3" w14:textId="23C2FB93" w:rsidR="00C91C1F" w:rsidRPr="003D7F95" w:rsidRDefault="00C91C1F" w:rsidP="004914AB">
      <w:pPr>
        <w:pStyle w:val="Akapitzlist"/>
        <w:numPr>
          <w:ilvl w:val="1"/>
          <w:numId w:val="21"/>
        </w:numPr>
        <w:spacing w:after="0" w:line="276" w:lineRule="auto"/>
        <w:jc w:val="both"/>
        <w:rPr>
          <w:lang w:val="en-US"/>
        </w:rPr>
      </w:pPr>
      <w:r w:rsidRPr="003D7F95">
        <w:rPr>
          <w:lang w:val="en-US"/>
        </w:rPr>
        <w:t>Scripting Tools – Python, Bash, PowerShell</w:t>
      </w:r>
      <w:r w:rsidR="00A74C3D" w:rsidRPr="003D7F95">
        <w:rPr>
          <w:lang w:val="en-US"/>
        </w:rPr>
        <w:t>.</w:t>
      </w:r>
    </w:p>
    <w:p w14:paraId="287D1979" w14:textId="21FDE18F" w:rsidR="00C91C1F" w:rsidRPr="003D7F95" w:rsidRDefault="00C91C1F" w:rsidP="004914AB">
      <w:pPr>
        <w:pStyle w:val="Akapitzlist"/>
        <w:numPr>
          <w:ilvl w:val="1"/>
          <w:numId w:val="21"/>
        </w:numPr>
        <w:spacing w:after="0" w:line="276" w:lineRule="auto"/>
        <w:jc w:val="both"/>
        <w:rPr>
          <w:lang w:val="en-US"/>
        </w:rPr>
      </w:pPr>
      <w:r w:rsidRPr="003D7F95">
        <w:rPr>
          <w:lang w:val="en-US"/>
        </w:rPr>
        <w:t xml:space="preserve">Analysis Concepts – </w:t>
      </w:r>
      <w:proofErr w:type="spellStart"/>
      <w:r w:rsidRPr="003D7F95">
        <w:rPr>
          <w:lang w:val="en-US"/>
        </w:rPr>
        <w:t>logika</w:t>
      </w:r>
      <w:proofErr w:type="spellEnd"/>
      <w:r w:rsidRPr="003D7F95">
        <w:rPr>
          <w:lang w:val="en-US"/>
        </w:rPr>
        <w:t xml:space="preserve"> </w:t>
      </w:r>
      <w:proofErr w:type="spellStart"/>
      <w:r w:rsidRPr="003D7F95">
        <w:rPr>
          <w:lang w:val="en-US"/>
        </w:rPr>
        <w:t>kodu</w:t>
      </w:r>
      <w:proofErr w:type="spellEnd"/>
      <w:r w:rsidRPr="003D7F95">
        <w:rPr>
          <w:lang w:val="en-US"/>
        </w:rPr>
        <w:t xml:space="preserve">, </w:t>
      </w:r>
      <w:proofErr w:type="spellStart"/>
      <w:r w:rsidRPr="003D7F95">
        <w:rPr>
          <w:lang w:val="en-US"/>
        </w:rPr>
        <w:t>analiza</w:t>
      </w:r>
      <w:proofErr w:type="spellEnd"/>
      <w:r w:rsidRPr="003D7F95">
        <w:rPr>
          <w:lang w:val="en-US"/>
        </w:rPr>
        <w:t xml:space="preserve"> malware, reverse engineering</w:t>
      </w:r>
      <w:r w:rsidR="00A74C3D" w:rsidRPr="003D7F95">
        <w:rPr>
          <w:lang w:val="en-US"/>
        </w:rPr>
        <w:t>.</w:t>
      </w:r>
    </w:p>
    <w:p w14:paraId="624705A1" w14:textId="07EFD22B" w:rsidR="00C91C1F" w:rsidRPr="00C91C1F" w:rsidRDefault="00C91C1F" w:rsidP="004914AB">
      <w:pPr>
        <w:pStyle w:val="Akapitzlist"/>
        <w:numPr>
          <w:ilvl w:val="0"/>
          <w:numId w:val="21"/>
        </w:numPr>
        <w:spacing w:after="0" w:line="276" w:lineRule="auto"/>
        <w:jc w:val="both"/>
      </w:pPr>
      <w:r w:rsidRPr="00C91C1F">
        <w:t>Zabezpieczanie aplikacji</w:t>
      </w:r>
      <w:r w:rsidR="00A74C3D">
        <w:t>:</w:t>
      </w:r>
    </w:p>
    <w:p w14:paraId="59AFE70D" w14:textId="3CC30E06" w:rsidR="00C91C1F" w:rsidRPr="00C91C1F" w:rsidRDefault="00C91C1F" w:rsidP="004914AB">
      <w:pPr>
        <w:pStyle w:val="Akapitzlist"/>
        <w:numPr>
          <w:ilvl w:val="1"/>
          <w:numId w:val="21"/>
        </w:numPr>
        <w:spacing w:after="0" w:line="276" w:lineRule="auto"/>
        <w:jc w:val="both"/>
      </w:pPr>
      <w:proofErr w:type="spellStart"/>
      <w:r w:rsidRPr="00C91C1F">
        <w:t>Secure</w:t>
      </w:r>
      <w:proofErr w:type="spellEnd"/>
      <w:r w:rsidRPr="00C91C1F">
        <w:t xml:space="preserve"> SDLC – </w:t>
      </w:r>
      <w:proofErr w:type="spellStart"/>
      <w:r w:rsidRPr="00C91C1F">
        <w:t>DevSecOps</w:t>
      </w:r>
      <w:proofErr w:type="spellEnd"/>
      <w:r w:rsidRPr="00C91C1F">
        <w:t>, testowanie kodu</w:t>
      </w:r>
      <w:r w:rsidR="00A74C3D">
        <w:t>.</w:t>
      </w:r>
    </w:p>
    <w:p w14:paraId="3D7CDB92" w14:textId="77777777" w:rsidR="00565AD5" w:rsidRPr="003D7F95" w:rsidRDefault="00C91C1F" w:rsidP="004914AB">
      <w:pPr>
        <w:pStyle w:val="Akapitzlist"/>
        <w:numPr>
          <w:ilvl w:val="1"/>
          <w:numId w:val="21"/>
        </w:numPr>
        <w:spacing w:after="0" w:line="276" w:lineRule="auto"/>
        <w:jc w:val="both"/>
        <w:rPr>
          <w:lang w:val="en-US"/>
        </w:rPr>
      </w:pPr>
      <w:r w:rsidRPr="003D7F95">
        <w:rPr>
          <w:lang w:val="en-US"/>
        </w:rPr>
        <w:t>Mitigation Techniques – WAF, input validation, least privilege</w:t>
      </w:r>
      <w:r w:rsidR="00126C4D" w:rsidRPr="003D7F95">
        <w:rPr>
          <w:lang w:val="en-US"/>
        </w:rPr>
        <w:t>.</w:t>
      </w:r>
    </w:p>
    <w:p w14:paraId="284A3BC8" w14:textId="77777777" w:rsidR="00565AD5" w:rsidRPr="003D7F95" w:rsidRDefault="00565AD5" w:rsidP="00565AD5">
      <w:pPr>
        <w:spacing w:after="0" w:line="276" w:lineRule="auto"/>
        <w:jc w:val="both"/>
        <w:rPr>
          <w:lang w:val="en-US"/>
        </w:rPr>
      </w:pPr>
    </w:p>
    <w:p w14:paraId="42E41DE8" w14:textId="616614B9" w:rsidR="00565AD5" w:rsidRDefault="00565AD5" w:rsidP="00565AD5">
      <w:pPr>
        <w:spacing w:line="276" w:lineRule="auto"/>
        <w:jc w:val="both"/>
      </w:pPr>
      <w:r>
        <w:t xml:space="preserve">Moduł nr 2 – szkolenie </w:t>
      </w:r>
      <w:r w:rsidRPr="00565AD5">
        <w:t xml:space="preserve">CPENT AI: </w:t>
      </w:r>
      <w:proofErr w:type="spellStart"/>
      <w:r w:rsidRPr="00565AD5">
        <w:t>Certified</w:t>
      </w:r>
      <w:proofErr w:type="spellEnd"/>
      <w:r w:rsidRPr="00565AD5">
        <w:t xml:space="preserve"> </w:t>
      </w:r>
      <w:proofErr w:type="spellStart"/>
      <w:r w:rsidRPr="00565AD5">
        <w:t>Penetration</w:t>
      </w:r>
      <w:proofErr w:type="spellEnd"/>
      <w:r w:rsidRPr="00565AD5">
        <w:t xml:space="preserve"> </w:t>
      </w:r>
      <w:proofErr w:type="spellStart"/>
      <w:r w:rsidRPr="00565AD5">
        <w:t>Testing</w:t>
      </w:r>
      <w:proofErr w:type="spellEnd"/>
      <w:r w:rsidRPr="00565AD5">
        <w:t xml:space="preserve"> Professional</w:t>
      </w:r>
      <w:r>
        <w:t xml:space="preserve"> </w:t>
      </w:r>
      <w:r w:rsidR="00B40620">
        <w:t xml:space="preserve">wraz z </w:t>
      </w:r>
      <w:r w:rsidR="00B40620" w:rsidRPr="00C91C1F">
        <w:t>przygotowanie</w:t>
      </w:r>
      <w:r w:rsidR="00B40620">
        <w:t>m</w:t>
      </w:r>
      <w:r w:rsidR="00B40620" w:rsidRPr="00C91C1F">
        <w:t xml:space="preserve"> </w:t>
      </w:r>
      <w:r w:rsidR="00B40620">
        <w:t xml:space="preserve">i zapewnieniem podejścia </w:t>
      </w:r>
      <w:r w:rsidR="00B40620" w:rsidRPr="00C91C1F">
        <w:t>do egzaminu C</w:t>
      </w:r>
      <w:r w:rsidR="00B40620">
        <w:t>PENT</w:t>
      </w:r>
      <w:r w:rsidR="0040179D">
        <w:t xml:space="preserve"> </w:t>
      </w:r>
      <w:r>
        <w:t>– rekomendowany program szkolenia:</w:t>
      </w:r>
    </w:p>
    <w:p w14:paraId="3B3523AF" w14:textId="611DFC24" w:rsidR="00B40620" w:rsidRPr="00B40620" w:rsidRDefault="00B40620" w:rsidP="004914AB">
      <w:pPr>
        <w:pStyle w:val="Akapitzlist"/>
        <w:numPr>
          <w:ilvl w:val="0"/>
          <w:numId w:val="22"/>
        </w:numPr>
        <w:spacing w:after="0" w:line="276" w:lineRule="auto"/>
        <w:jc w:val="both"/>
        <w:rPr>
          <w:b/>
          <w:bCs/>
        </w:rPr>
      </w:pPr>
      <w:r w:rsidRPr="00B40620">
        <w:t xml:space="preserve">Wprowadzenie do </w:t>
      </w:r>
      <w:r>
        <w:t xml:space="preserve">testów </w:t>
      </w:r>
      <w:r w:rsidRPr="00B40620">
        <w:t>penetrac</w:t>
      </w:r>
      <w:r>
        <w:t>yjnych</w:t>
      </w:r>
      <w:r w:rsidRPr="00B40620">
        <w:t xml:space="preserve"> i metodologii</w:t>
      </w:r>
      <w:r>
        <w:t>:</w:t>
      </w:r>
    </w:p>
    <w:p w14:paraId="00A6B117" w14:textId="6B64A49C" w:rsidR="00B40620" w:rsidRPr="00B40620" w:rsidRDefault="00B40620" w:rsidP="004914AB">
      <w:pPr>
        <w:pStyle w:val="Akapitzlist"/>
        <w:numPr>
          <w:ilvl w:val="1"/>
          <w:numId w:val="23"/>
        </w:numPr>
        <w:spacing w:after="0" w:line="276" w:lineRule="auto"/>
        <w:jc w:val="both"/>
      </w:pPr>
      <w:r w:rsidRPr="00B40620">
        <w:t>Cele i zasady testów penetracyjnych</w:t>
      </w:r>
      <w:r>
        <w:t>.</w:t>
      </w:r>
    </w:p>
    <w:p w14:paraId="15E481E5" w14:textId="0F0BD8A1" w:rsidR="00B40620" w:rsidRPr="003D7F95" w:rsidRDefault="00B40620" w:rsidP="004914AB">
      <w:pPr>
        <w:pStyle w:val="Akapitzlist"/>
        <w:numPr>
          <w:ilvl w:val="1"/>
          <w:numId w:val="23"/>
        </w:numPr>
        <w:spacing w:after="0" w:line="276" w:lineRule="auto"/>
        <w:jc w:val="both"/>
        <w:rPr>
          <w:lang w:val="en-US"/>
        </w:rPr>
      </w:pPr>
      <w:proofErr w:type="spellStart"/>
      <w:r w:rsidRPr="003D7F95">
        <w:rPr>
          <w:lang w:val="en-US"/>
        </w:rPr>
        <w:t>Metodologie</w:t>
      </w:r>
      <w:proofErr w:type="spellEnd"/>
      <w:r w:rsidRPr="003D7F95">
        <w:rPr>
          <w:lang w:val="en-US"/>
        </w:rPr>
        <w:t xml:space="preserve"> EC-Council </w:t>
      </w:r>
      <w:proofErr w:type="spellStart"/>
      <w:r w:rsidRPr="003D7F95">
        <w:rPr>
          <w:lang w:val="en-US"/>
        </w:rPr>
        <w:t>i</w:t>
      </w:r>
      <w:proofErr w:type="spellEnd"/>
      <w:r w:rsidRPr="003D7F95">
        <w:rPr>
          <w:lang w:val="en-US"/>
        </w:rPr>
        <w:t xml:space="preserve"> LPT.</w:t>
      </w:r>
    </w:p>
    <w:p w14:paraId="7A57ED0E" w14:textId="548257F4" w:rsidR="00B40620" w:rsidRPr="00B40620" w:rsidRDefault="00B40620" w:rsidP="004914AB">
      <w:pPr>
        <w:pStyle w:val="Akapitzlist"/>
        <w:numPr>
          <w:ilvl w:val="1"/>
          <w:numId w:val="23"/>
        </w:numPr>
        <w:spacing w:after="0" w:line="276" w:lineRule="auto"/>
        <w:jc w:val="both"/>
      </w:pPr>
      <w:r w:rsidRPr="00B40620">
        <w:t>Etyka, prawo i zarządzanie zakresem (ROE, NDA, kontrakty)</w:t>
      </w:r>
      <w:r>
        <w:t>.</w:t>
      </w:r>
    </w:p>
    <w:p w14:paraId="1A2E26A4" w14:textId="45A88E9A" w:rsidR="00B40620" w:rsidRPr="00B40620" w:rsidRDefault="00B40620" w:rsidP="004914AB">
      <w:pPr>
        <w:pStyle w:val="Akapitzlist"/>
        <w:numPr>
          <w:ilvl w:val="0"/>
          <w:numId w:val="22"/>
        </w:numPr>
        <w:spacing w:after="0" w:line="276" w:lineRule="auto"/>
        <w:jc w:val="both"/>
        <w:rPr>
          <w:b/>
          <w:bCs/>
        </w:rPr>
      </w:pPr>
      <w:r w:rsidRPr="00B40620">
        <w:t>Planowanie i angażowanie klienta</w:t>
      </w:r>
      <w:r>
        <w:t>:</w:t>
      </w:r>
    </w:p>
    <w:p w14:paraId="778D16B3" w14:textId="5640F392" w:rsidR="00B40620" w:rsidRPr="00B40620" w:rsidRDefault="00B40620" w:rsidP="004914AB">
      <w:pPr>
        <w:pStyle w:val="Akapitzlist"/>
        <w:numPr>
          <w:ilvl w:val="1"/>
          <w:numId w:val="24"/>
        </w:numPr>
        <w:spacing w:after="0" w:line="276" w:lineRule="auto"/>
        <w:jc w:val="both"/>
      </w:pPr>
      <w:r w:rsidRPr="00B40620">
        <w:t>Przygotowanie propozycji i harmonogramu</w:t>
      </w:r>
      <w:r>
        <w:t>.</w:t>
      </w:r>
    </w:p>
    <w:p w14:paraId="7AACC8E9" w14:textId="14CD1104" w:rsidR="00B40620" w:rsidRPr="00B40620" w:rsidRDefault="00B40620" w:rsidP="004914AB">
      <w:pPr>
        <w:pStyle w:val="Akapitzlist"/>
        <w:numPr>
          <w:ilvl w:val="1"/>
          <w:numId w:val="24"/>
        </w:numPr>
        <w:spacing w:after="0" w:line="276" w:lineRule="auto"/>
        <w:jc w:val="both"/>
      </w:pPr>
      <w:r w:rsidRPr="00B40620">
        <w:t>Określenie zakresu i celów testów</w:t>
      </w:r>
      <w:r>
        <w:t>.</w:t>
      </w:r>
    </w:p>
    <w:p w14:paraId="51A48476" w14:textId="1A128C4A" w:rsidR="00B40620" w:rsidRPr="00B40620" w:rsidRDefault="00B40620" w:rsidP="004914AB">
      <w:pPr>
        <w:pStyle w:val="Akapitzlist"/>
        <w:numPr>
          <w:ilvl w:val="1"/>
          <w:numId w:val="24"/>
        </w:numPr>
        <w:spacing w:after="0" w:line="276" w:lineRule="auto"/>
        <w:jc w:val="both"/>
      </w:pPr>
      <w:r w:rsidRPr="00B40620">
        <w:lastRenderedPageBreak/>
        <w:t>Zasady angażowania interesariuszy i zarządzania oczekiwaniami</w:t>
      </w:r>
      <w:r>
        <w:t>.</w:t>
      </w:r>
    </w:p>
    <w:p w14:paraId="2F7A7969" w14:textId="497BB6E3" w:rsidR="00B40620" w:rsidRPr="00B40620" w:rsidRDefault="00B40620" w:rsidP="004914AB">
      <w:pPr>
        <w:pStyle w:val="Akapitzlist"/>
        <w:numPr>
          <w:ilvl w:val="0"/>
          <w:numId w:val="22"/>
        </w:numPr>
        <w:spacing w:after="0" w:line="276" w:lineRule="auto"/>
        <w:jc w:val="both"/>
      </w:pPr>
      <w:r w:rsidRPr="00B40620">
        <w:t xml:space="preserve">Open Source </w:t>
      </w:r>
      <w:proofErr w:type="spellStart"/>
      <w:r w:rsidRPr="00B40620">
        <w:t>Intelligence</w:t>
      </w:r>
      <w:proofErr w:type="spellEnd"/>
      <w:r w:rsidRPr="00B40620">
        <w:t xml:space="preserve"> (OSINT)</w:t>
      </w:r>
      <w:r>
        <w:t>:</w:t>
      </w:r>
    </w:p>
    <w:p w14:paraId="0890831F" w14:textId="77777777" w:rsidR="00B40620" w:rsidRPr="00B40620" w:rsidRDefault="00B40620" w:rsidP="004914AB">
      <w:pPr>
        <w:pStyle w:val="Akapitzlist"/>
        <w:numPr>
          <w:ilvl w:val="1"/>
          <w:numId w:val="25"/>
        </w:numPr>
        <w:spacing w:after="0" w:line="276" w:lineRule="auto"/>
        <w:jc w:val="both"/>
      </w:pPr>
      <w:r w:rsidRPr="00B40620">
        <w:t>Techniki zbierania informacji z publicznych źródeł</w:t>
      </w:r>
    </w:p>
    <w:p w14:paraId="2B02E4CD" w14:textId="77777777" w:rsidR="00B40620" w:rsidRPr="00B40620" w:rsidRDefault="00B40620" w:rsidP="004914AB">
      <w:pPr>
        <w:pStyle w:val="Akapitzlist"/>
        <w:numPr>
          <w:ilvl w:val="1"/>
          <w:numId w:val="25"/>
        </w:numPr>
        <w:spacing w:after="0" w:line="276" w:lineRule="auto"/>
        <w:jc w:val="both"/>
      </w:pPr>
      <w:r w:rsidRPr="00B40620">
        <w:t xml:space="preserve">Narzędzia OSINT (np. </w:t>
      </w:r>
      <w:proofErr w:type="spellStart"/>
      <w:r w:rsidRPr="00B40620">
        <w:t>Maltego</w:t>
      </w:r>
      <w:proofErr w:type="spellEnd"/>
      <w:r w:rsidRPr="00B40620">
        <w:t xml:space="preserve">, </w:t>
      </w:r>
      <w:proofErr w:type="spellStart"/>
      <w:r w:rsidRPr="00B40620">
        <w:t>Recon-ng</w:t>
      </w:r>
      <w:proofErr w:type="spellEnd"/>
      <w:r w:rsidRPr="00B40620">
        <w:t xml:space="preserve">, </w:t>
      </w:r>
      <w:proofErr w:type="spellStart"/>
      <w:r w:rsidRPr="00B40620">
        <w:t>theHarvester</w:t>
      </w:r>
      <w:proofErr w:type="spellEnd"/>
      <w:r w:rsidRPr="00B40620">
        <w:t>)</w:t>
      </w:r>
    </w:p>
    <w:p w14:paraId="29104A37" w14:textId="77777777" w:rsidR="00B40620" w:rsidRPr="00B40620" w:rsidRDefault="00B40620" w:rsidP="004914AB">
      <w:pPr>
        <w:pStyle w:val="Akapitzlist"/>
        <w:numPr>
          <w:ilvl w:val="1"/>
          <w:numId w:val="25"/>
        </w:numPr>
        <w:spacing w:after="0" w:line="276" w:lineRule="auto"/>
        <w:jc w:val="both"/>
      </w:pPr>
      <w:r w:rsidRPr="00B40620">
        <w:t>Mapowanie powierzchni ataku i analiza ryzyka</w:t>
      </w:r>
    </w:p>
    <w:p w14:paraId="3235BEAF" w14:textId="0C222B8A" w:rsidR="00B40620" w:rsidRPr="00B40620" w:rsidRDefault="00B40620" w:rsidP="004914AB">
      <w:pPr>
        <w:pStyle w:val="Akapitzlist"/>
        <w:numPr>
          <w:ilvl w:val="0"/>
          <w:numId w:val="22"/>
        </w:numPr>
        <w:spacing w:after="0" w:line="276" w:lineRule="auto"/>
        <w:jc w:val="both"/>
        <w:rPr>
          <w:b/>
          <w:bCs/>
        </w:rPr>
      </w:pPr>
      <w:r w:rsidRPr="00B40620">
        <w:t>Inżynieria społeczna</w:t>
      </w:r>
      <w:r>
        <w:t>:</w:t>
      </w:r>
    </w:p>
    <w:p w14:paraId="52E10794" w14:textId="77777777" w:rsidR="00B40620" w:rsidRPr="00B40620" w:rsidRDefault="00B40620" w:rsidP="004914AB">
      <w:pPr>
        <w:pStyle w:val="Akapitzlist"/>
        <w:numPr>
          <w:ilvl w:val="1"/>
          <w:numId w:val="26"/>
        </w:numPr>
        <w:spacing w:after="0" w:line="276" w:lineRule="auto"/>
        <w:jc w:val="both"/>
      </w:pPr>
      <w:proofErr w:type="spellStart"/>
      <w:r w:rsidRPr="00B40620">
        <w:t>Phishing</w:t>
      </w:r>
      <w:proofErr w:type="spellEnd"/>
      <w:r w:rsidRPr="00B40620">
        <w:t xml:space="preserve">, </w:t>
      </w:r>
      <w:proofErr w:type="spellStart"/>
      <w:r w:rsidRPr="00B40620">
        <w:t>vishing</w:t>
      </w:r>
      <w:proofErr w:type="spellEnd"/>
      <w:r w:rsidRPr="00B40620">
        <w:t xml:space="preserve">, </w:t>
      </w:r>
      <w:proofErr w:type="spellStart"/>
      <w:r w:rsidRPr="00B40620">
        <w:t>smishing</w:t>
      </w:r>
      <w:proofErr w:type="spellEnd"/>
      <w:r w:rsidRPr="00B40620">
        <w:t xml:space="preserve">, </w:t>
      </w:r>
      <w:proofErr w:type="spellStart"/>
      <w:r w:rsidRPr="00B40620">
        <w:t>tailgating</w:t>
      </w:r>
      <w:proofErr w:type="spellEnd"/>
    </w:p>
    <w:p w14:paraId="1DECA7F6" w14:textId="77777777" w:rsidR="00B40620" w:rsidRPr="00B40620" w:rsidRDefault="00B40620" w:rsidP="004914AB">
      <w:pPr>
        <w:pStyle w:val="Akapitzlist"/>
        <w:numPr>
          <w:ilvl w:val="1"/>
          <w:numId w:val="26"/>
        </w:numPr>
        <w:spacing w:after="0" w:line="276" w:lineRule="auto"/>
        <w:jc w:val="both"/>
      </w:pPr>
      <w:r w:rsidRPr="00B40620">
        <w:t>Techniki manipulacji i motywacji</w:t>
      </w:r>
    </w:p>
    <w:p w14:paraId="1AF45120" w14:textId="77777777" w:rsidR="00B40620" w:rsidRPr="00B40620" w:rsidRDefault="00B40620" w:rsidP="004914AB">
      <w:pPr>
        <w:pStyle w:val="Akapitzlist"/>
        <w:numPr>
          <w:ilvl w:val="1"/>
          <w:numId w:val="26"/>
        </w:numPr>
        <w:spacing w:after="0" w:line="276" w:lineRule="auto"/>
        <w:jc w:val="both"/>
      </w:pPr>
      <w:r w:rsidRPr="00B40620">
        <w:t>Przeciwdziałanie i raportowanie</w:t>
      </w:r>
    </w:p>
    <w:p w14:paraId="29D8FA6A" w14:textId="0AC333B4" w:rsidR="00B40620" w:rsidRPr="00B40620" w:rsidRDefault="00B40620" w:rsidP="004914AB">
      <w:pPr>
        <w:pStyle w:val="Akapitzlist"/>
        <w:numPr>
          <w:ilvl w:val="0"/>
          <w:numId w:val="22"/>
        </w:numPr>
        <w:spacing w:after="0" w:line="276" w:lineRule="auto"/>
        <w:jc w:val="both"/>
        <w:rPr>
          <w:b/>
          <w:bCs/>
        </w:rPr>
      </w:pPr>
      <w:r w:rsidRPr="00B40620">
        <w:t>Testowanie aplikacji webowych</w:t>
      </w:r>
      <w:r>
        <w:t>:</w:t>
      </w:r>
    </w:p>
    <w:p w14:paraId="040B7A6B" w14:textId="77777777" w:rsidR="00B40620" w:rsidRPr="00B40620" w:rsidRDefault="00B40620" w:rsidP="004914AB">
      <w:pPr>
        <w:pStyle w:val="Akapitzlist"/>
        <w:numPr>
          <w:ilvl w:val="1"/>
          <w:numId w:val="27"/>
        </w:numPr>
        <w:spacing w:after="0" w:line="276" w:lineRule="auto"/>
        <w:jc w:val="both"/>
      </w:pPr>
      <w:r w:rsidRPr="00B40620">
        <w:t>OWASP Top 10 – testowanie i eksploatacja</w:t>
      </w:r>
    </w:p>
    <w:p w14:paraId="47642068" w14:textId="77777777" w:rsidR="00B40620" w:rsidRPr="00B40620" w:rsidRDefault="00B40620" w:rsidP="004914AB">
      <w:pPr>
        <w:pStyle w:val="Akapitzlist"/>
        <w:numPr>
          <w:ilvl w:val="1"/>
          <w:numId w:val="27"/>
        </w:numPr>
        <w:spacing w:after="0" w:line="276" w:lineRule="auto"/>
        <w:jc w:val="both"/>
      </w:pPr>
      <w:r w:rsidRPr="00B40620">
        <w:t>SQL Injection, XSS, CSRF, SSRF</w:t>
      </w:r>
    </w:p>
    <w:p w14:paraId="673BFED6" w14:textId="77777777" w:rsidR="00B40620" w:rsidRPr="00B40620" w:rsidRDefault="00B40620" w:rsidP="004914AB">
      <w:pPr>
        <w:pStyle w:val="Akapitzlist"/>
        <w:numPr>
          <w:ilvl w:val="1"/>
          <w:numId w:val="27"/>
        </w:numPr>
        <w:spacing w:after="0" w:line="276" w:lineRule="auto"/>
        <w:jc w:val="both"/>
      </w:pPr>
      <w:r w:rsidRPr="00B40620">
        <w:t>Testowanie API, JWT, sesji, uwierzytelniania i autoryzacji</w:t>
      </w:r>
    </w:p>
    <w:p w14:paraId="1A265595" w14:textId="0B224F25" w:rsidR="00B40620" w:rsidRPr="00B40620" w:rsidRDefault="00B40620" w:rsidP="004914AB">
      <w:pPr>
        <w:pStyle w:val="Akapitzlist"/>
        <w:numPr>
          <w:ilvl w:val="0"/>
          <w:numId w:val="22"/>
        </w:numPr>
        <w:spacing w:after="0" w:line="276" w:lineRule="auto"/>
        <w:jc w:val="both"/>
        <w:rPr>
          <w:b/>
          <w:bCs/>
        </w:rPr>
      </w:pPr>
      <w:r w:rsidRPr="00B40620">
        <w:t>Testowanie zewnętrzne</w:t>
      </w:r>
      <w:r>
        <w:t>:</w:t>
      </w:r>
    </w:p>
    <w:p w14:paraId="4BADFEB5" w14:textId="77777777" w:rsidR="00B40620" w:rsidRPr="00B40620" w:rsidRDefault="00B40620" w:rsidP="004914AB">
      <w:pPr>
        <w:pStyle w:val="Akapitzlist"/>
        <w:numPr>
          <w:ilvl w:val="1"/>
          <w:numId w:val="28"/>
        </w:numPr>
        <w:spacing w:after="0" w:line="276" w:lineRule="auto"/>
        <w:jc w:val="both"/>
      </w:pPr>
      <w:r w:rsidRPr="00B40620">
        <w:t>Rozpoznanie i skanowanie (</w:t>
      </w:r>
      <w:proofErr w:type="spellStart"/>
      <w:r w:rsidRPr="00B40620">
        <w:t>Nmap</w:t>
      </w:r>
      <w:proofErr w:type="spellEnd"/>
      <w:r w:rsidRPr="00B40620">
        <w:t xml:space="preserve">, </w:t>
      </w:r>
      <w:proofErr w:type="spellStart"/>
      <w:r w:rsidRPr="00B40620">
        <w:t>Nessus</w:t>
      </w:r>
      <w:proofErr w:type="spellEnd"/>
      <w:r w:rsidRPr="00B40620">
        <w:t xml:space="preserve">, </w:t>
      </w:r>
      <w:proofErr w:type="spellStart"/>
      <w:r w:rsidRPr="00B40620">
        <w:t>Nikto</w:t>
      </w:r>
      <w:proofErr w:type="spellEnd"/>
      <w:r w:rsidRPr="00B40620">
        <w:t>)</w:t>
      </w:r>
    </w:p>
    <w:p w14:paraId="6D114DD4" w14:textId="77777777" w:rsidR="00B40620" w:rsidRPr="00B40620" w:rsidRDefault="00B40620" w:rsidP="004914AB">
      <w:pPr>
        <w:pStyle w:val="Akapitzlist"/>
        <w:numPr>
          <w:ilvl w:val="1"/>
          <w:numId w:val="28"/>
        </w:numPr>
        <w:spacing w:after="0" w:line="276" w:lineRule="auto"/>
        <w:jc w:val="both"/>
      </w:pPr>
      <w:r w:rsidRPr="00B40620">
        <w:t>Eksploatacja usług i aplikacji</w:t>
      </w:r>
    </w:p>
    <w:p w14:paraId="4BE3A351" w14:textId="77777777" w:rsidR="00B40620" w:rsidRPr="00B40620" w:rsidRDefault="00B40620" w:rsidP="004914AB">
      <w:pPr>
        <w:pStyle w:val="Akapitzlist"/>
        <w:numPr>
          <w:ilvl w:val="1"/>
          <w:numId w:val="28"/>
        </w:numPr>
        <w:spacing w:after="0" w:line="276" w:lineRule="auto"/>
        <w:jc w:val="both"/>
      </w:pPr>
      <w:r w:rsidRPr="00B40620">
        <w:t>Przechwytywanie i analiza ruchu</w:t>
      </w:r>
    </w:p>
    <w:p w14:paraId="76FD4A71" w14:textId="718428B0" w:rsidR="00B40620" w:rsidRPr="00B40620" w:rsidRDefault="00B40620" w:rsidP="004914AB">
      <w:pPr>
        <w:pStyle w:val="Akapitzlist"/>
        <w:numPr>
          <w:ilvl w:val="0"/>
          <w:numId w:val="22"/>
        </w:numPr>
        <w:spacing w:after="0" w:line="276" w:lineRule="auto"/>
        <w:jc w:val="both"/>
        <w:rPr>
          <w:b/>
          <w:bCs/>
        </w:rPr>
      </w:pPr>
      <w:r w:rsidRPr="00B40620">
        <w:t>Testowanie wewnętrzne</w:t>
      </w:r>
      <w:r>
        <w:t>:</w:t>
      </w:r>
    </w:p>
    <w:p w14:paraId="6E1DC018" w14:textId="77777777" w:rsidR="00B40620" w:rsidRPr="00B40620" w:rsidRDefault="00B40620" w:rsidP="004914AB">
      <w:pPr>
        <w:pStyle w:val="Akapitzlist"/>
        <w:numPr>
          <w:ilvl w:val="1"/>
          <w:numId w:val="29"/>
        </w:numPr>
        <w:spacing w:after="0" w:line="276" w:lineRule="auto"/>
        <w:jc w:val="both"/>
      </w:pPr>
      <w:r w:rsidRPr="00B40620">
        <w:t>Lateralne przemieszczanie się w sieci</w:t>
      </w:r>
    </w:p>
    <w:p w14:paraId="065F3A0E" w14:textId="77777777" w:rsidR="00B40620" w:rsidRPr="00B40620" w:rsidRDefault="00B40620" w:rsidP="004914AB">
      <w:pPr>
        <w:pStyle w:val="Akapitzlist"/>
        <w:numPr>
          <w:ilvl w:val="1"/>
          <w:numId w:val="29"/>
        </w:numPr>
        <w:spacing w:after="0" w:line="276" w:lineRule="auto"/>
        <w:jc w:val="both"/>
      </w:pPr>
      <w:r w:rsidRPr="00B40620">
        <w:t>Eskalacja uprawnień (Windows/Linux)</w:t>
      </w:r>
    </w:p>
    <w:p w14:paraId="0E42DCC4" w14:textId="77777777" w:rsidR="00B40620" w:rsidRPr="00B40620" w:rsidRDefault="00B40620" w:rsidP="004914AB">
      <w:pPr>
        <w:pStyle w:val="Akapitzlist"/>
        <w:numPr>
          <w:ilvl w:val="1"/>
          <w:numId w:val="29"/>
        </w:numPr>
        <w:spacing w:after="0" w:line="276" w:lineRule="auto"/>
        <w:jc w:val="both"/>
      </w:pPr>
      <w:r w:rsidRPr="00B40620">
        <w:t>Ustalanie haseł, ataki na AD, SMB, RDP</w:t>
      </w:r>
    </w:p>
    <w:p w14:paraId="05E51180" w14:textId="5DD93E49" w:rsidR="00B40620" w:rsidRPr="00B40620" w:rsidRDefault="00B40620" w:rsidP="004914AB">
      <w:pPr>
        <w:pStyle w:val="Akapitzlist"/>
        <w:numPr>
          <w:ilvl w:val="0"/>
          <w:numId w:val="22"/>
        </w:numPr>
        <w:spacing w:after="0" w:line="276" w:lineRule="auto"/>
        <w:jc w:val="both"/>
        <w:rPr>
          <w:b/>
          <w:bCs/>
        </w:rPr>
      </w:pPr>
      <w:r w:rsidRPr="00B40620">
        <w:t>Testowanie urządzeń peryferyjnych</w:t>
      </w:r>
      <w:r>
        <w:t>:</w:t>
      </w:r>
    </w:p>
    <w:p w14:paraId="3FDD1652" w14:textId="77777777" w:rsidR="00B40620" w:rsidRPr="00B40620" w:rsidRDefault="00B40620" w:rsidP="004914AB">
      <w:pPr>
        <w:pStyle w:val="Akapitzlist"/>
        <w:numPr>
          <w:ilvl w:val="1"/>
          <w:numId w:val="30"/>
        </w:numPr>
        <w:spacing w:after="0" w:line="276" w:lineRule="auto"/>
        <w:jc w:val="both"/>
      </w:pPr>
      <w:r w:rsidRPr="00B40620">
        <w:t>Testowanie zapór, routerów, VPN, IDS/IPS</w:t>
      </w:r>
    </w:p>
    <w:p w14:paraId="1FAE11D2" w14:textId="77777777" w:rsidR="00B40620" w:rsidRPr="00B40620" w:rsidRDefault="00B40620" w:rsidP="004914AB">
      <w:pPr>
        <w:pStyle w:val="Akapitzlist"/>
        <w:numPr>
          <w:ilvl w:val="1"/>
          <w:numId w:val="30"/>
        </w:numPr>
        <w:spacing w:after="0" w:line="276" w:lineRule="auto"/>
        <w:jc w:val="both"/>
      </w:pPr>
      <w:r w:rsidRPr="00B40620">
        <w:t xml:space="preserve">Ataki na urządzenia sieciowe i </w:t>
      </w:r>
      <w:proofErr w:type="spellStart"/>
      <w:r w:rsidRPr="00B40620">
        <w:t>IoT</w:t>
      </w:r>
      <w:proofErr w:type="spellEnd"/>
    </w:p>
    <w:p w14:paraId="73EE6A72" w14:textId="77777777" w:rsidR="00B40620" w:rsidRPr="00B40620" w:rsidRDefault="00B40620" w:rsidP="004914AB">
      <w:pPr>
        <w:pStyle w:val="Akapitzlist"/>
        <w:numPr>
          <w:ilvl w:val="1"/>
          <w:numId w:val="30"/>
        </w:numPr>
        <w:spacing w:after="0" w:line="276" w:lineRule="auto"/>
        <w:jc w:val="both"/>
      </w:pPr>
      <w:r w:rsidRPr="00B40620">
        <w:t>Techniki obejścia filtrów i firewalli</w:t>
      </w:r>
    </w:p>
    <w:p w14:paraId="1C768A5B" w14:textId="17146145" w:rsidR="00B40620" w:rsidRPr="00B40620" w:rsidRDefault="00B40620" w:rsidP="004914AB">
      <w:pPr>
        <w:pStyle w:val="Akapitzlist"/>
        <w:numPr>
          <w:ilvl w:val="0"/>
          <w:numId w:val="22"/>
        </w:numPr>
        <w:spacing w:after="0" w:line="276" w:lineRule="auto"/>
        <w:jc w:val="both"/>
      </w:pPr>
      <w:r w:rsidRPr="00B40620">
        <w:t xml:space="preserve">Testowanie </w:t>
      </w:r>
      <w:proofErr w:type="spellStart"/>
      <w:r w:rsidRPr="00B40620">
        <w:t>IoT</w:t>
      </w:r>
      <w:proofErr w:type="spellEnd"/>
      <w:r w:rsidRPr="00B40620">
        <w:t xml:space="preserve"> i OT/SCADA</w:t>
      </w:r>
      <w:r>
        <w:t>:</w:t>
      </w:r>
    </w:p>
    <w:p w14:paraId="0AA6911D" w14:textId="77777777" w:rsidR="00B40620" w:rsidRPr="00B40620" w:rsidRDefault="00B40620" w:rsidP="004914AB">
      <w:pPr>
        <w:pStyle w:val="Akapitzlist"/>
        <w:numPr>
          <w:ilvl w:val="1"/>
          <w:numId w:val="31"/>
        </w:numPr>
        <w:spacing w:after="0" w:line="276" w:lineRule="auto"/>
        <w:jc w:val="both"/>
      </w:pPr>
      <w:r w:rsidRPr="00B40620">
        <w:t xml:space="preserve">Analiza urządzeń </w:t>
      </w:r>
      <w:proofErr w:type="spellStart"/>
      <w:r w:rsidRPr="00B40620">
        <w:t>IoT</w:t>
      </w:r>
      <w:proofErr w:type="spellEnd"/>
      <w:r w:rsidRPr="00B40620">
        <w:t xml:space="preserve"> i protokołów (</w:t>
      </w:r>
      <w:proofErr w:type="spellStart"/>
      <w:r w:rsidRPr="00B40620">
        <w:t>Zigbee</w:t>
      </w:r>
      <w:proofErr w:type="spellEnd"/>
      <w:r w:rsidRPr="00B40620">
        <w:t>, BLE, MQTT)</w:t>
      </w:r>
    </w:p>
    <w:p w14:paraId="3319C706" w14:textId="77777777" w:rsidR="00B40620" w:rsidRPr="00B40620" w:rsidRDefault="00B40620" w:rsidP="004914AB">
      <w:pPr>
        <w:pStyle w:val="Akapitzlist"/>
        <w:numPr>
          <w:ilvl w:val="1"/>
          <w:numId w:val="31"/>
        </w:numPr>
        <w:spacing w:after="0" w:line="276" w:lineRule="auto"/>
        <w:jc w:val="both"/>
      </w:pPr>
      <w:r w:rsidRPr="00B40620">
        <w:t>Testowanie systemów OT/SCADA (</w:t>
      </w:r>
      <w:proofErr w:type="spellStart"/>
      <w:r w:rsidRPr="00B40620">
        <w:t>Modbus</w:t>
      </w:r>
      <w:proofErr w:type="spellEnd"/>
      <w:r w:rsidRPr="00B40620">
        <w:t>, DNP3, OPC)</w:t>
      </w:r>
    </w:p>
    <w:p w14:paraId="7EF50193" w14:textId="77777777" w:rsidR="00B40620" w:rsidRPr="00B40620" w:rsidRDefault="00B40620" w:rsidP="004914AB">
      <w:pPr>
        <w:pStyle w:val="Akapitzlist"/>
        <w:numPr>
          <w:ilvl w:val="1"/>
          <w:numId w:val="31"/>
        </w:numPr>
        <w:spacing w:after="0" w:line="276" w:lineRule="auto"/>
        <w:jc w:val="both"/>
      </w:pPr>
      <w:r w:rsidRPr="00B40620">
        <w:t>Przeciwdziałanie i raportowanie</w:t>
      </w:r>
    </w:p>
    <w:p w14:paraId="184A60C9" w14:textId="5630C66A" w:rsidR="00B40620" w:rsidRPr="00B40620" w:rsidRDefault="00B40620" w:rsidP="004914AB">
      <w:pPr>
        <w:pStyle w:val="Akapitzlist"/>
        <w:numPr>
          <w:ilvl w:val="0"/>
          <w:numId w:val="22"/>
        </w:numPr>
        <w:spacing w:after="0" w:line="276" w:lineRule="auto"/>
        <w:jc w:val="both"/>
        <w:rPr>
          <w:b/>
          <w:bCs/>
        </w:rPr>
      </w:pPr>
      <w:r w:rsidRPr="00B40620">
        <w:t>Testowanie chmury</w:t>
      </w:r>
      <w:r>
        <w:t>:</w:t>
      </w:r>
    </w:p>
    <w:p w14:paraId="786FC693" w14:textId="77777777" w:rsidR="00B40620" w:rsidRPr="00B40620" w:rsidRDefault="00B40620" w:rsidP="004914AB">
      <w:pPr>
        <w:pStyle w:val="Akapitzlist"/>
        <w:numPr>
          <w:ilvl w:val="1"/>
          <w:numId w:val="32"/>
        </w:numPr>
        <w:spacing w:after="0" w:line="276" w:lineRule="auto"/>
        <w:jc w:val="both"/>
      </w:pPr>
      <w:r w:rsidRPr="00B40620">
        <w:t xml:space="preserve">Testowanie środowisk AWS, </w:t>
      </w:r>
      <w:proofErr w:type="spellStart"/>
      <w:r w:rsidRPr="00B40620">
        <w:t>Azure</w:t>
      </w:r>
      <w:proofErr w:type="spellEnd"/>
      <w:r w:rsidRPr="00B40620">
        <w:t>, GCP</w:t>
      </w:r>
    </w:p>
    <w:p w14:paraId="7321E125" w14:textId="77777777" w:rsidR="00B40620" w:rsidRPr="00B40620" w:rsidRDefault="00B40620" w:rsidP="004914AB">
      <w:pPr>
        <w:pStyle w:val="Akapitzlist"/>
        <w:numPr>
          <w:ilvl w:val="1"/>
          <w:numId w:val="32"/>
        </w:numPr>
        <w:spacing w:after="0" w:line="276" w:lineRule="auto"/>
        <w:jc w:val="both"/>
      </w:pPr>
      <w:r w:rsidRPr="00B40620">
        <w:t>Analiza konfiguracji i uprawnień</w:t>
      </w:r>
    </w:p>
    <w:p w14:paraId="75C7506F" w14:textId="77777777" w:rsidR="00B40620" w:rsidRPr="00B40620" w:rsidRDefault="00B40620" w:rsidP="004914AB">
      <w:pPr>
        <w:pStyle w:val="Akapitzlist"/>
        <w:numPr>
          <w:ilvl w:val="1"/>
          <w:numId w:val="32"/>
        </w:numPr>
        <w:spacing w:after="0" w:line="276" w:lineRule="auto"/>
        <w:jc w:val="both"/>
      </w:pPr>
      <w:r w:rsidRPr="00B40620">
        <w:t>Testowanie aplikacji i baz danych w chmurze</w:t>
      </w:r>
    </w:p>
    <w:p w14:paraId="3F371856" w14:textId="414B08F6" w:rsidR="00B40620" w:rsidRPr="00B40620" w:rsidRDefault="00B40620" w:rsidP="004914AB">
      <w:pPr>
        <w:pStyle w:val="Akapitzlist"/>
        <w:numPr>
          <w:ilvl w:val="0"/>
          <w:numId w:val="22"/>
        </w:numPr>
        <w:spacing w:after="0" w:line="276" w:lineRule="auto"/>
        <w:jc w:val="both"/>
        <w:rPr>
          <w:b/>
          <w:bCs/>
        </w:rPr>
      </w:pPr>
      <w:r w:rsidRPr="00B40620">
        <w:t>Eksploatacja binarna i inżynieria wsteczna</w:t>
      </w:r>
      <w:r>
        <w:t>:</w:t>
      </w:r>
    </w:p>
    <w:p w14:paraId="3FAD7CE0" w14:textId="77777777" w:rsidR="00B40620" w:rsidRPr="00B40620" w:rsidRDefault="00B40620" w:rsidP="004914AB">
      <w:pPr>
        <w:pStyle w:val="Akapitzlist"/>
        <w:numPr>
          <w:ilvl w:val="1"/>
          <w:numId w:val="33"/>
        </w:numPr>
        <w:spacing w:after="0" w:line="276" w:lineRule="auto"/>
        <w:jc w:val="both"/>
      </w:pPr>
      <w:r w:rsidRPr="00B40620">
        <w:t>Analiza i eksploatacja plików binarnych</w:t>
      </w:r>
    </w:p>
    <w:p w14:paraId="7D9C6AD9" w14:textId="77777777" w:rsidR="00B40620" w:rsidRPr="00B40620" w:rsidRDefault="00B40620" w:rsidP="004914AB">
      <w:pPr>
        <w:pStyle w:val="Akapitzlist"/>
        <w:numPr>
          <w:ilvl w:val="1"/>
          <w:numId w:val="33"/>
        </w:numPr>
        <w:spacing w:after="0" w:line="276" w:lineRule="auto"/>
        <w:jc w:val="both"/>
      </w:pPr>
      <w:proofErr w:type="spellStart"/>
      <w:r w:rsidRPr="00B40620">
        <w:t>Fuzzing</w:t>
      </w:r>
      <w:proofErr w:type="spellEnd"/>
      <w:r w:rsidRPr="00B40620">
        <w:t>, buforowanie, przepełnienie stosu</w:t>
      </w:r>
    </w:p>
    <w:p w14:paraId="74BBFFFD" w14:textId="77777777" w:rsidR="00B40620" w:rsidRPr="00B40620" w:rsidRDefault="00B40620" w:rsidP="004914AB">
      <w:pPr>
        <w:pStyle w:val="Akapitzlist"/>
        <w:numPr>
          <w:ilvl w:val="1"/>
          <w:numId w:val="33"/>
        </w:numPr>
        <w:spacing w:after="0" w:line="276" w:lineRule="auto"/>
        <w:jc w:val="both"/>
      </w:pPr>
      <w:r w:rsidRPr="00B40620">
        <w:t>Narzędzia: GDB, IDA Pro, Radare2, AFL</w:t>
      </w:r>
    </w:p>
    <w:p w14:paraId="6B58822C" w14:textId="0E1B0A21" w:rsidR="00B40620" w:rsidRPr="00B40620" w:rsidRDefault="00B40620" w:rsidP="004914AB">
      <w:pPr>
        <w:pStyle w:val="Akapitzlist"/>
        <w:numPr>
          <w:ilvl w:val="0"/>
          <w:numId w:val="22"/>
        </w:numPr>
        <w:spacing w:after="0" w:line="276" w:lineRule="auto"/>
        <w:jc w:val="both"/>
        <w:rPr>
          <w:b/>
          <w:bCs/>
        </w:rPr>
      </w:pPr>
      <w:r w:rsidRPr="00B40620">
        <w:t>Pisanie raportów i działania po testach</w:t>
      </w:r>
      <w:r>
        <w:t>:</w:t>
      </w:r>
    </w:p>
    <w:p w14:paraId="3D86B62A" w14:textId="77777777" w:rsidR="00B40620" w:rsidRPr="00B40620" w:rsidRDefault="00B40620" w:rsidP="004914AB">
      <w:pPr>
        <w:pStyle w:val="Akapitzlist"/>
        <w:numPr>
          <w:ilvl w:val="1"/>
          <w:numId w:val="34"/>
        </w:numPr>
        <w:spacing w:after="0" w:line="276" w:lineRule="auto"/>
        <w:jc w:val="both"/>
      </w:pPr>
      <w:r w:rsidRPr="00B40620">
        <w:t xml:space="preserve">Struktura raportu </w:t>
      </w:r>
      <w:proofErr w:type="spellStart"/>
      <w:r w:rsidRPr="00B40620">
        <w:t>pentestowego</w:t>
      </w:r>
      <w:proofErr w:type="spellEnd"/>
    </w:p>
    <w:p w14:paraId="74073D8D" w14:textId="77777777" w:rsidR="00B40620" w:rsidRPr="00B40620" w:rsidRDefault="00B40620" w:rsidP="004914AB">
      <w:pPr>
        <w:pStyle w:val="Akapitzlist"/>
        <w:numPr>
          <w:ilvl w:val="1"/>
          <w:numId w:val="34"/>
        </w:numPr>
        <w:spacing w:after="0" w:line="276" w:lineRule="auto"/>
        <w:jc w:val="both"/>
      </w:pPr>
      <w:r w:rsidRPr="00B40620">
        <w:t>Dokumentowanie luk, dowodów i rekomendacji</w:t>
      </w:r>
    </w:p>
    <w:p w14:paraId="54D13153" w14:textId="77777777" w:rsidR="00B40620" w:rsidRPr="00B40620" w:rsidRDefault="00B40620" w:rsidP="004914AB">
      <w:pPr>
        <w:pStyle w:val="Akapitzlist"/>
        <w:numPr>
          <w:ilvl w:val="1"/>
          <w:numId w:val="34"/>
        </w:numPr>
        <w:spacing w:after="0" w:line="276" w:lineRule="auto"/>
        <w:jc w:val="both"/>
      </w:pPr>
      <w:r w:rsidRPr="00B40620">
        <w:t>Prezentacja wyników klientowi i interesariuszom</w:t>
      </w:r>
    </w:p>
    <w:p w14:paraId="65A88D52" w14:textId="77777777" w:rsidR="00565AD5" w:rsidRDefault="00565AD5" w:rsidP="00565AD5">
      <w:pPr>
        <w:spacing w:line="276" w:lineRule="auto"/>
        <w:jc w:val="both"/>
      </w:pPr>
    </w:p>
    <w:p w14:paraId="43257AE6" w14:textId="395167EA" w:rsidR="0040179D" w:rsidRDefault="0040179D" w:rsidP="0040179D">
      <w:pPr>
        <w:spacing w:line="276" w:lineRule="auto"/>
        <w:jc w:val="both"/>
      </w:pPr>
      <w:r>
        <w:t xml:space="preserve">Moduł nr 3 – szkolenie dotyczące </w:t>
      </w:r>
      <w:r w:rsidR="001229A8">
        <w:t>z</w:t>
      </w:r>
      <w:r>
        <w:t>apewnieni</w:t>
      </w:r>
      <w:r w:rsidR="001229A8">
        <w:t xml:space="preserve">a </w:t>
      </w:r>
      <w:r>
        <w:t xml:space="preserve">cyberbezpieczeństwa </w:t>
      </w:r>
      <w:r w:rsidRPr="0040179D">
        <w:t>dla Active Directory w kontekście dyrektywy NIS 2</w:t>
      </w:r>
      <w:r>
        <w:t xml:space="preserve"> – rekomendowany program szkolenia:</w:t>
      </w:r>
    </w:p>
    <w:p w14:paraId="1620E4D6" w14:textId="6BD218BC" w:rsidR="001229A8" w:rsidRPr="001229A8" w:rsidRDefault="001229A8" w:rsidP="004914AB">
      <w:pPr>
        <w:pStyle w:val="Akapitzlist"/>
        <w:numPr>
          <w:ilvl w:val="0"/>
          <w:numId w:val="35"/>
        </w:numPr>
        <w:spacing w:after="0" w:line="276" w:lineRule="auto"/>
        <w:jc w:val="both"/>
      </w:pPr>
      <w:r w:rsidRPr="001229A8">
        <w:lastRenderedPageBreak/>
        <w:t>Regulacje prawne i cyberbezpieczeństwo w organizacji</w:t>
      </w:r>
      <w:r>
        <w:t>:</w:t>
      </w:r>
    </w:p>
    <w:p w14:paraId="06F7ACDA" w14:textId="7FDDF083" w:rsidR="001229A8" w:rsidRPr="001229A8" w:rsidRDefault="001229A8" w:rsidP="004914AB">
      <w:pPr>
        <w:pStyle w:val="Akapitzlist"/>
        <w:numPr>
          <w:ilvl w:val="1"/>
          <w:numId w:val="36"/>
        </w:numPr>
        <w:spacing w:after="0" w:line="276" w:lineRule="auto"/>
      </w:pPr>
      <w:r w:rsidRPr="001229A8">
        <w:t>Dyrektywa NIS2 – podstawy prawne i znaczenie</w:t>
      </w:r>
      <w:r>
        <w:t>.</w:t>
      </w:r>
    </w:p>
    <w:p w14:paraId="4C501A6D" w14:textId="3C3E4914" w:rsidR="001229A8" w:rsidRDefault="001229A8" w:rsidP="004914AB">
      <w:pPr>
        <w:pStyle w:val="Akapitzlist"/>
        <w:numPr>
          <w:ilvl w:val="1"/>
          <w:numId w:val="36"/>
        </w:numPr>
        <w:spacing w:after="0" w:line="276" w:lineRule="auto"/>
      </w:pPr>
      <w:r w:rsidRPr="001229A8">
        <w:t>Bezpieczeństwo infrastruktury IT a zgodność z przepisami</w:t>
      </w:r>
      <w:r>
        <w:t>.</w:t>
      </w:r>
    </w:p>
    <w:p w14:paraId="0C0DB45B" w14:textId="77777777" w:rsidR="001229A8" w:rsidRDefault="001229A8" w:rsidP="004914AB">
      <w:pPr>
        <w:pStyle w:val="Akapitzlist"/>
        <w:numPr>
          <w:ilvl w:val="1"/>
          <w:numId w:val="36"/>
        </w:numPr>
        <w:spacing w:after="0" w:line="276" w:lineRule="auto"/>
      </w:pPr>
      <w:proofErr w:type="spellStart"/>
      <w:r w:rsidRPr="001229A8">
        <w:t>Cyberzagrożenia</w:t>
      </w:r>
      <w:proofErr w:type="spellEnd"/>
      <w:r w:rsidRPr="001229A8">
        <w:t xml:space="preserve"> i model warstwowej ochrony</w:t>
      </w:r>
      <w:r>
        <w:t>.</w:t>
      </w:r>
    </w:p>
    <w:p w14:paraId="55E4FCEA" w14:textId="77777777" w:rsidR="001229A8" w:rsidRPr="001229A8" w:rsidRDefault="001229A8" w:rsidP="004914AB">
      <w:pPr>
        <w:pStyle w:val="Akapitzlist"/>
        <w:numPr>
          <w:ilvl w:val="1"/>
          <w:numId w:val="36"/>
        </w:numPr>
        <w:spacing w:after="0" w:line="276" w:lineRule="auto"/>
        <w:rPr>
          <w:b/>
          <w:bCs/>
        </w:rPr>
      </w:pPr>
      <w:r w:rsidRPr="001229A8">
        <w:t>Bezpieczeństwo personelu</w:t>
      </w:r>
      <w:r>
        <w:t>.</w:t>
      </w:r>
    </w:p>
    <w:p w14:paraId="19D26757" w14:textId="5A5DE118" w:rsidR="001229A8" w:rsidRPr="001229A8" w:rsidRDefault="001229A8" w:rsidP="004914AB">
      <w:pPr>
        <w:pStyle w:val="Akapitzlist"/>
        <w:numPr>
          <w:ilvl w:val="0"/>
          <w:numId w:val="35"/>
        </w:numPr>
        <w:spacing w:after="0" w:line="276" w:lineRule="auto"/>
        <w:jc w:val="both"/>
      </w:pPr>
      <w:r w:rsidRPr="001229A8">
        <w:t>Zarządzanie dostępem i tożsamością w środowisku AD</w:t>
      </w:r>
      <w:r>
        <w:t>:</w:t>
      </w:r>
    </w:p>
    <w:p w14:paraId="7070F4DE" w14:textId="77777777" w:rsidR="001229A8" w:rsidRDefault="001229A8" w:rsidP="004914AB">
      <w:pPr>
        <w:pStyle w:val="Akapitzlist"/>
        <w:numPr>
          <w:ilvl w:val="1"/>
          <w:numId w:val="37"/>
        </w:numPr>
        <w:spacing w:after="0" w:line="276" w:lineRule="auto"/>
      </w:pPr>
      <w:r w:rsidRPr="001229A8">
        <w:t>Analiza ryzyka i wdrażanie polityk bezpieczeństwa dostępu</w:t>
      </w:r>
    </w:p>
    <w:p w14:paraId="642430FB" w14:textId="77777777" w:rsidR="001229A8" w:rsidRDefault="001229A8" w:rsidP="004914AB">
      <w:pPr>
        <w:pStyle w:val="Akapitzlist"/>
        <w:numPr>
          <w:ilvl w:val="1"/>
          <w:numId w:val="37"/>
        </w:numPr>
        <w:spacing w:after="0" w:line="276" w:lineRule="auto"/>
      </w:pPr>
      <w:r w:rsidRPr="001229A8">
        <w:t>Architektura uwierzytelniania – komponenty i procesy</w:t>
      </w:r>
    </w:p>
    <w:p w14:paraId="009660ED" w14:textId="77777777" w:rsidR="001229A8" w:rsidRDefault="001229A8" w:rsidP="004914AB">
      <w:pPr>
        <w:pStyle w:val="Akapitzlist"/>
        <w:numPr>
          <w:ilvl w:val="1"/>
          <w:numId w:val="37"/>
        </w:numPr>
        <w:spacing w:after="0" w:line="276" w:lineRule="auto"/>
      </w:pPr>
      <w:r w:rsidRPr="001229A8">
        <w:t>Zarządzanie kontami i strukturą AD</w:t>
      </w:r>
    </w:p>
    <w:p w14:paraId="0D334DB9" w14:textId="77777777" w:rsidR="001229A8" w:rsidRDefault="001229A8" w:rsidP="004914AB">
      <w:pPr>
        <w:pStyle w:val="Akapitzlist"/>
        <w:numPr>
          <w:ilvl w:val="1"/>
          <w:numId w:val="37"/>
        </w:numPr>
        <w:spacing w:after="0" w:line="276" w:lineRule="auto"/>
      </w:pPr>
      <w:r w:rsidRPr="001229A8">
        <w:t>Zasady minimalnych uprawnień i podział administracj</w:t>
      </w:r>
      <w:r>
        <w:t>i.</w:t>
      </w:r>
    </w:p>
    <w:p w14:paraId="5E6E626A" w14:textId="0A8921E8" w:rsidR="001229A8" w:rsidRPr="001229A8" w:rsidRDefault="001229A8" w:rsidP="004914AB">
      <w:pPr>
        <w:pStyle w:val="Akapitzlist"/>
        <w:numPr>
          <w:ilvl w:val="1"/>
          <w:numId w:val="37"/>
        </w:numPr>
        <w:spacing w:after="0" w:line="276" w:lineRule="auto"/>
      </w:pPr>
      <w:r w:rsidRPr="001229A8">
        <w:t>Bezpieczna administracja – narzędzia i praktyki</w:t>
      </w:r>
      <w:r>
        <w:t>.</w:t>
      </w:r>
    </w:p>
    <w:p w14:paraId="79F30071" w14:textId="450E82FF" w:rsidR="001229A8" w:rsidRPr="001229A8" w:rsidRDefault="001229A8" w:rsidP="004914AB">
      <w:pPr>
        <w:pStyle w:val="Akapitzlist"/>
        <w:numPr>
          <w:ilvl w:val="0"/>
          <w:numId w:val="35"/>
        </w:numPr>
        <w:spacing w:after="0" w:line="276" w:lineRule="auto"/>
        <w:jc w:val="both"/>
      </w:pPr>
      <w:r w:rsidRPr="001229A8">
        <w:t>Wzmacnianie i nadzorowanie infrastruktury Windows/AD</w:t>
      </w:r>
      <w:r>
        <w:t>:</w:t>
      </w:r>
    </w:p>
    <w:p w14:paraId="1AFFAEF8" w14:textId="419960B8" w:rsidR="000937E8" w:rsidRDefault="001229A8" w:rsidP="004914AB">
      <w:pPr>
        <w:pStyle w:val="Akapitzlist"/>
        <w:numPr>
          <w:ilvl w:val="1"/>
          <w:numId w:val="38"/>
        </w:numPr>
        <w:spacing w:after="0" w:line="276" w:lineRule="auto"/>
      </w:pPr>
      <w:r w:rsidRPr="001229A8">
        <w:t>Zabezpieczenie kontrolerów domeny i usług towarzyszącyc</w:t>
      </w:r>
      <w:r w:rsidR="000937E8">
        <w:t>h.</w:t>
      </w:r>
    </w:p>
    <w:p w14:paraId="4568E1D8" w14:textId="342054ED" w:rsidR="000937E8" w:rsidRDefault="001229A8" w:rsidP="004914AB">
      <w:pPr>
        <w:pStyle w:val="Akapitzlist"/>
        <w:numPr>
          <w:ilvl w:val="1"/>
          <w:numId w:val="38"/>
        </w:numPr>
        <w:spacing w:after="0" w:line="276" w:lineRule="auto"/>
      </w:pPr>
      <w:r w:rsidRPr="001229A8">
        <w:t>Zarządzanie zasadami GPO jako centralny mechanizm kontroli</w:t>
      </w:r>
      <w:r w:rsidR="000937E8">
        <w:t>.</w:t>
      </w:r>
    </w:p>
    <w:p w14:paraId="0E50B07D" w14:textId="5766D905" w:rsidR="000937E8" w:rsidRDefault="001229A8" w:rsidP="004914AB">
      <w:pPr>
        <w:pStyle w:val="Akapitzlist"/>
        <w:numPr>
          <w:ilvl w:val="1"/>
          <w:numId w:val="38"/>
        </w:numPr>
        <w:spacing w:after="0" w:line="276" w:lineRule="auto"/>
      </w:pPr>
      <w:r w:rsidRPr="001229A8">
        <w:t>Wdrożenie praktyk „</w:t>
      </w:r>
      <w:proofErr w:type="spellStart"/>
      <w:r w:rsidRPr="001229A8">
        <w:t>hardeningu</w:t>
      </w:r>
      <w:proofErr w:type="spellEnd"/>
      <w:r w:rsidRPr="001229A8">
        <w:t>” dla środowisk Windows</w:t>
      </w:r>
      <w:r w:rsidR="000937E8">
        <w:t>.</w:t>
      </w:r>
    </w:p>
    <w:p w14:paraId="1869F791" w14:textId="77777777" w:rsidR="000937E8" w:rsidRDefault="001229A8" w:rsidP="004914AB">
      <w:pPr>
        <w:pStyle w:val="Akapitzlist"/>
        <w:numPr>
          <w:ilvl w:val="0"/>
          <w:numId w:val="35"/>
        </w:numPr>
        <w:spacing w:after="0" w:line="276" w:lineRule="auto"/>
        <w:jc w:val="both"/>
      </w:pPr>
      <w:r w:rsidRPr="001229A8">
        <w:t>Monitorowanie, inspekcja i subskrypcja logów zdarzeń</w:t>
      </w:r>
      <w:r w:rsidR="000937E8">
        <w:t>.</w:t>
      </w:r>
    </w:p>
    <w:p w14:paraId="15F5159B" w14:textId="15EBF6DB" w:rsidR="001229A8" w:rsidRPr="001229A8" w:rsidRDefault="001229A8" w:rsidP="004914AB">
      <w:pPr>
        <w:pStyle w:val="Akapitzlist"/>
        <w:numPr>
          <w:ilvl w:val="0"/>
          <w:numId w:val="35"/>
        </w:numPr>
        <w:spacing w:after="0" w:line="276" w:lineRule="auto"/>
        <w:jc w:val="both"/>
      </w:pPr>
      <w:r w:rsidRPr="001229A8">
        <w:t>Ochrona danych, certyfikaty i kontrola transmisji</w:t>
      </w:r>
    </w:p>
    <w:p w14:paraId="35194D3D" w14:textId="77777777" w:rsidR="000937E8" w:rsidRDefault="001229A8" w:rsidP="004914AB">
      <w:pPr>
        <w:pStyle w:val="Akapitzlist"/>
        <w:numPr>
          <w:ilvl w:val="1"/>
          <w:numId w:val="39"/>
        </w:numPr>
        <w:spacing w:after="0" w:line="276" w:lineRule="auto"/>
      </w:pPr>
      <w:r w:rsidRPr="001229A8">
        <w:t>Zabezpieczenie danych i mechanizmy szyfrowania</w:t>
      </w:r>
      <w:r w:rsidR="000937E8">
        <w:t>.</w:t>
      </w:r>
    </w:p>
    <w:p w14:paraId="3F0FFE3E" w14:textId="77777777" w:rsidR="000937E8" w:rsidRDefault="001229A8" w:rsidP="004914AB">
      <w:pPr>
        <w:pStyle w:val="Akapitzlist"/>
        <w:numPr>
          <w:ilvl w:val="1"/>
          <w:numId w:val="39"/>
        </w:numPr>
        <w:spacing w:after="0" w:line="276" w:lineRule="auto"/>
      </w:pPr>
      <w:r w:rsidRPr="001229A8">
        <w:t>Infrastruktura klucza publicznego (PKI) – urzędy certyfikacji</w:t>
      </w:r>
      <w:r w:rsidR="000937E8">
        <w:t>.</w:t>
      </w:r>
    </w:p>
    <w:p w14:paraId="6BE7C748" w14:textId="77777777" w:rsidR="000937E8" w:rsidRPr="000937E8" w:rsidRDefault="001229A8" w:rsidP="004914AB">
      <w:pPr>
        <w:pStyle w:val="Akapitzlist"/>
        <w:numPr>
          <w:ilvl w:val="0"/>
          <w:numId w:val="35"/>
        </w:numPr>
        <w:spacing w:after="0" w:line="276" w:lineRule="auto"/>
        <w:jc w:val="both"/>
        <w:rPr>
          <w:b/>
          <w:bCs/>
        </w:rPr>
      </w:pPr>
      <w:r w:rsidRPr="001229A8">
        <w:t>Transmisja zabezpieczona – SSL/TLS, IIS, IPSec</w:t>
      </w:r>
      <w:r w:rsidR="000937E8">
        <w:t>.</w:t>
      </w:r>
    </w:p>
    <w:p w14:paraId="57BD119B" w14:textId="2856FEAD" w:rsidR="000937E8" w:rsidRPr="000937E8" w:rsidRDefault="001229A8" w:rsidP="004914AB">
      <w:pPr>
        <w:pStyle w:val="Akapitzlist"/>
        <w:numPr>
          <w:ilvl w:val="1"/>
          <w:numId w:val="40"/>
        </w:numPr>
        <w:spacing w:after="0" w:line="276" w:lineRule="auto"/>
      </w:pPr>
      <w:r w:rsidRPr="001229A8">
        <w:t>Zdalny dostęp, VPN, aktualizacje i stacje końcowe</w:t>
      </w:r>
      <w:r w:rsidR="000937E8">
        <w:t>.</w:t>
      </w:r>
    </w:p>
    <w:p w14:paraId="56DFE232" w14:textId="1C3EC99E" w:rsidR="000937E8" w:rsidRPr="000937E8" w:rsidRDefault="001229A8" w:rsidP="004914AB">
      <w:pPr>
        <w:pStyle w:val="Akapitzlist"/>
        <w:numPr>
          <w:ilvl w:val="1"/>
          <w:numId w:val="40"/>
        </w:numPr>
        <w:spacing w:after="0" w:line="276" w:lineRule="auto"/>
      </w:pPr>
      <w:r w:rsidRPr="000937E8">
        <w:t>Zdalne połączenia – bezpieczeństwo dostępu spoza organizacji</w:t>
      </w:r>
      <w:r w:rsidR="000937E8">
        <w:t>.</w:t>
      </w:r>
    </w:p>
    <w:p w14:paraId="0F8826EA" w14:textId="606367EB" w:rsidR="000937E8" w:rsidRPr="000937E8" w:rsidRDefault="001229A8" w:rsidP="004914AB">
      <w:pPr>
        <w:pStyle w:val="Akapitzlist"/>
        <w:numPr>
          <w:ilvl w:val="1"/>
          <w:numId w:val="40"/>
        </w:numPr>
        <w:spacing w:after="0" w:line="276" w:lineRule="auto"/>
        <w:rPr>
          <w:b/>
          <w:bCs/>
        </w:rPr>
      </w:pPr>
      <w:r w:rsidRPr="000937E8">
        <w:t>Aktualizacje i zarządzanie poprawkami – rola WSUS</w:t>
      </w:r>
      <w:r w:rsidR="000937E8">
        <w:t>.</w:t>
      </w:r>
    </w:p>
    <w:p w14:paraId="4C753818" w14:textId="75499999" w:rsidR="001229A8" w:rsidRPr="000937E8" w:rsidRDefault="001229A8" w:rsidP="004914AB">
      <w:pPr>
        <w:pStyle w:val="Akapitzlist"/>
        <w:numPr>
          <w:ilvl w:val="1"/>
          <w:numId w:val="40"/>
        </w:numPr>
        <w:spacing w:after="0" w:line="276" w:lineRule="auto"/>
        <w:rPr>
          <w:b/>
          <w:bCs/>
        </w:rPr>
      </w:pPr>
      <w:r w:rsidRPr="000937E8">
        <w:t>Zabezpieczanie stacji końcowych z Windows 11</w:t>
      </w:r>
      <w:r w:rsidR="000937E8">
        <w:t>.</w:t>
      </w:r>
      <w:r w:rsidRPr="001229A8">
        <w:br/>
      </w:r>
    </w:p>
    <w:p w14:paraId="233059DF" w14:textId="77777777" w:rsidR="00854CBA" w:rsidRPr="00BE35E5" w:rsidRDefault="00854CBA" w:rsidP="00854CBA">
      <w:pPr>
        <w:spacing w:line="276" w:lineRule="auto"/>
        <w:jc w:val="both"/>
        <w:rPr>
          <w:u w:val="single"/>
        </w:rPr>
      </w:pPr>
      <w:r w:rsidRPr="00BE35E5">
        <w:rPr>
          <w:u w:val="single"/>
        </w:rPr>
        <w:t>Dodatkowe wymagania:</w:t>
      </w:r>
    </w:p>
    <w:p w14:paraId="3D748996" w14:textId="2A88BBB1" w:rsidR="00854CBA" w:rsidRDefault="00854CBA" w:rsidP="004914AB">
      <w:pPr>
        <w:pStyle w:val="Akapitzlist"/>
        <w:numPr>
          <w:ilvl w:val="0"/>
          <w:numId w:val="41"/>
        </w:numPr>
        <w:spacing w:after="0" w:line="276" w:lineRule="auto"/>
        <w:jc w:val="both"/>
      </w:pPr>
      <w:r w:rsidRPr="00BE35E5">
        <w:t xml:space="preserve">W ramach usługi zostaną przeszkolone </w:t>
      </w:r>
      <w:r w:rsidR="00444655">
        <w:t>2</w:t>
      </w:r>
      <w:r w:rsidR="00C3324C" w:rsidRPr="00BE35E5">
        <w:t xml:space="preserve"> </w:t>
      </w:r>
      <w:r w:rsidRPr="00BE35E5">
        <w:t>osoby</w:t>
      </w:r>
      <w:r w:rsidR="00C3324C">
        <w:t xml:space="preserve"> z zastrzeżeniem, że jedna osoba bierze udział w nie więcej niż </w:t>
      </w:r>
      <w:r w:rsidR="00444655">
        <w:t>2</w:t>
      </w:r>
      <w:r w:rsidR="00C3324C">
        <w:t xml:space="preserve"> modu</w:t>
      </w:r>
      <w:r w:rsidR="00444655">
        <w:t>łach</w:t>
      </w:r>
      <w:r w:rsidR="00C3324C">
        <w:t xml:space="preserve"> szkoleniowy</w:t>
      </w:r>
      <w:r w:rsidR="00444655">
        <w:t>ch</w:t>
      </w:r>
      <w:r w:rsidR="00C3324C">
        <w:t>.</w:t>
      </w:r>
    </w:p>
    <w:p w14:paraId="0E21A706" w14:textId="31AA0D7E" w:rsidR="00854CBA" w:rsidRDefault="00854CBA" w:rsidP="004914AB">
      <w:pPr>
        <w:pStyle w:val="Akapitzlist"/>
        <w:numPr>
          <w:ilvl w:val="0"/>
          <w:numId w:val="41"/>
        </w:numPr>
        <w:spacing w:after="0" w:line="276" w:lineRule="auto"/>
        <w:jc w:val="both"/>
      </w:pPr>
      <w:r w:rsidRPr="00BE35E5">
        <w:t xml:space="preserve">Szkolenie powinno trwać minimum </w:t>
      </w:r>
      <w:r>
        <w:t>105</w:t>
      </w:r>
      <w:r w:rsidRPr="00BE35E5">
        <w:t xml:space="preserve"> godzin szkoleniowych</w:t>
      </w:r>
      <w:r>
        <w:t>, po 35 godzin szkoleniowych dla jednego modułu.</w:t>
      </w:r>
    </w:p>
    <w:p w14:paraId="32D3F3DA" w14:textId="63D47369" w:rsidR="00854CBA" w:rsidRPr="00BE35E5" w:rsidRDefault="00854CBA" w:rsidP="004914AB">
      <w:pPr>
        <w:pStyle w:val="Akapitzlist"/>
        <w:numPr>
          <w:ilvl w:val="0"/>
          <w:numId w:val="41"/>
        </w:numPr>
        <w:spacing w:after="0" w:line="276" w:lineRule="auto"/>
        <w:jc w:val="both"/>
      </w:pPr>
      <w:r>
        <w:t xml:space="preserve">Zapewnienie egzaminów powinno umożliwiać podejście do egzaminu do </w:t>
      </w:r>
      <w:r w:rsidR="00376530">
        <w:t>w okresie trwania umowy</w:t>
      </w:r>
      <w:r w:rsidR="00C3324C">
        <w:t xml:space="preserve">, przewiduje się udział jednej osoby </w:t>
      </w:r>
      <w:r w:rsidR="001B7AC0">
        <w:t>w jednym egzaminie.</w:t>
      </w:r>
    </w:p>
    <w:p w14:paraId="00E2CB6C" w14:textId="0FE8A1D3" w:rsidR="0040179D" w:rsidRPr="0040179D" w:rsidRDefault="0040179D" w:rsidP="0040179D">
      <w:pPr>
        <w:spacing w:line="276" w:lineRule="auto"/>
        <w:jc w:val="both"/>
      </w:pPr>
    </w:p>
    <w:p w14:paraId="0972B70B" w14:textId="17A28CF5" w:rsidR="0040179D" w:rsidRDefault="0040179D" w:rsidP="00565AD5">
      <w:pPr>
        <w:spacing w:line="276" w:lineRule="auto"/>
        <w:jc w:val="both"/>
      </w:pPr>
    </w:p>
    <w:p w14:paraId="6E9D8290" w14:textId="1B2652FC" w:rsidR="004116C6" w:rsidRPr="00126C4D" w:rsidRDefault="004116C6" w:rsidP="00565AD5">
      <w:pPr>
        <w:spacing w:after="0" w:line="276" w:lineRule="auto"/>
        <w:jc w:val="both"/>
      </w:pPr>
      <w:r>
        <w:br w:type="page"/>
      </w:r>
    </w:p>
    <w:p w14:paraId="2503CED1" w14:textId="6679ED9D" w:rsidR="004116C6" w:rsidRDefault="004116C6" w:rsidP="000262C6">
      <w:pPr>
        <w:pStyle w:val="Nagwek1"/>
        <w:numPr>
          <w:ilvl w:val="0"/>
          <w:numId w:val="1"/>
        </w:numPr>
        <w:spacing w:after="240" w:line="276" w:lineRule="auto"/>
      </w:pPr>
      <w:bookmarkStart w:id="7" w:name="_Toc203652262"/>
      <w:r>
        <w:lastRenderedPageBreak/>
        <w:t>Równoważność rozwiązań.</w:t>
      </w:r>
      <w:bookmarkEnd w:id="7"/>
    </w:p>
    <w:p w14:paraId="1E21EDE9" w14:textId="77777777" w:rsidR="004116C6" w:rsidRPr="00786ED6" w:rsidRDefault="004116C6" w:rsidP="004914AB">
      <w:pPr>
        <w:pStyle w:val="Akapitzlist"/>
        <w:numPr>
          <w:ilvl w:val="0"/>
          <w:numId w:val="4"/>
        </w:numPr>
        <w:spacing w:after="0" w:line="276" w:lineRule="auto"/>
        <w:ind w:left="284" w:hanging="284"/>
        <w:jc w:val="both"/>
      </w:pPr>
      <w:bookmarkStart w:id="8" w:name="_Hlk167627836"/>
      <w:r w:rsidRPr="00786ED6">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w:t>
      </w:r>
    </w:p>
    <w:p w14:paraId="16B0D026" w14:textId="77777777" w:rsidR="004116C6" w:rsidRPr="00786ED6" w:rsidRDefault="004116C6" w:rsidP="004914AB">
      <w:pPr>
        <w:pStyle w:val="Akapitzlist"/>
        <w:numPr>
          <w:ilvl w:val="0"/>
          <w:numId w:val="4"/>
        </w:numPr>
        <w:spacing w:after="0" w:line="276" w:lineRule="auto"/>
        <w:ind w:left="284" w:hanging="284"/>
        <w:jc w:val="both"/>
      </w:pPr>
      <w:r w:rsidRPr="00786ED6">
        <w:t>Zamawiający informuje, że tam, gdzie w Zapytaniu oraz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w:t>
      </w:r>
    </w:p>
    <w:p w14:paraId="182E06BE" w14:textId="77777777" w:rsidR="004116C6" w:rsidRPr="00786ED6" w:rsidRDefault="004116C6" w:rsidP="004914AB">
      <w:pPr>
        <w:pStyle w:val="Akapitzlist"/>
        <w:numPr>
          <w:ilvl w:val="0"/>
          <w:numId w:val="4"/>
        </w:numPr>
        <w:spacing w:after="0" w:line="276" w:lineRule="auto"/>
        <w:ind w:left="284" w:hanging="284"/>
        <w:jc w:val="both"/>
      </w:pPr>
      <w:r w:rsidRPr="00786ED6">
        <w:t>Wykonawca, który powołuje się na rozwiązania równoważne opisywanym przez Zamawiającego, jest obowiązany wykazać, że oferowane przez usługi spełniają wymagania określone przez Zamawiającego. W takiej sytuacji Zamawiający wymaga złożenia stosownych dokumentów, uwiarygodniających te rozwiązania.</w:t>
      </w:r>
    </w:p>
    <w:p w14:paraId="38C55EB2" w14:textId="77777777" w:rsidR="004116C6" w:rsidRDefault="004116C6" w:rsidP="004914AB">
      <w:pPr>
        <w:pStyle w:val="Akapitzlist"/>
        <w:numPr>
          <w:ilvl w:val="0"/>
          <w:numId w:val="4"/>
        </w:numPr>
        <w:spacing w:after="0" w:line="276" w:lineRule="auto"/>
        <w:ind w:left="284" w:hanging="284"/>
        <w:jc w:val="both"/>
      </w:pPr>
      <w: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w:t>
      </w:r>
    </w:p>
    <w:p w14:paraId="0FB77B48" w14:textId="77777777" w:rsidR="000149B0" w:rsidRDefault="000149B0">
      <w:r>
        <w:br w:type="page"/>
      </w:r>
    </w:p>
    <w:p w14:paraId="69B04775" w14:textId="61DF77EB" w:rsidR="008B3E3A" w:rsidRPr="008B3E3A" w:rsidRDefault="008B3E3A" w:rsidP="008B1C76">
      <w:pPr>
        <w:pStyle w:val="Nagwek1"/>
        <w:numPr>
          <w:ilvl w:val="0"/>
          <w:numId w:val="1"/>
        </w:numPr>
        <w:spacing w:after="240" w:line="276" w:lineRule="auto"/>
      </w:pPr>
      <w:bookmarkStart w:id="9" w:name="_Toc203652263"/>
      <w:bookmarkEnd w:id="8"/>
      <w:r w:rsidRPr="008B3E3A">
        <w:lastRenderedPageBreak/>
        <w:t>Klauzula informacyjna FERC</w:t>
      </w:r>
      <w:r>
        <w:t>.</w:t>
      </w:r>
      <w:bookmarkEnd w:id="9"/>
    </w:p>
    <w:p w14:paraId="1495CBB3" w14:textId="77777777" w:rsidR="008B3E3A" w:rsidRPr="008B1C76" w:rsidRDefault="008B3E3A" w:rsidP="008B1C76">
      <w:pPr>
        <w:spacing w:after="0" w:line="276" w:lineRule="auto"/>
        <w:jc w:val="both"/>
        <w:rPr>
          <w:rFonts w:cstheme="minorHAnsi"/>
        </w:rPr>
      </w:pPr>
      <w:r w:rsidRPr="008B1C76">
        <w:rPr>
          <w:rFonts w:cstheme="minorHAnsi"/>
        </w:rPr>
        <w:t xml:space="preserve">W celu wykonania obowiązku nałożonego w drodze art. 13 i 14 RODO, w związku z art. 88 ustawy wdrożeniowej, informujemy o zasadach przetwarzania Państwa danych osobowych: </w:t>
      </w:r>
    </w:p>
    <w:p w14:paraId="51B44547" w14:textId="77777777" w:rsidR="008B3E3A" w:rsidRPr="008B1C76" w:rsidRDefault="008B3E3A" w:rsidP="008B1C76">
      <w:pPr>
        <w:spacing w:after="0" w:line="276" w:lineRule="auto"/>
        <w:jc w:val="both"/>
        <w:rPr>
          <w:rFonts w:cstheme="minorHAnsi"/>
        </w:rPr>
      </w:pPr>
    </w:p>
    <w:p w14:paraId="0BD297ED" w14:textId="77777777" w:rsidR="008B3E3A" w:rsidRPr="008B1C76" w:rsidRDefault="008B3E3A" w:rsidP="008B1C76">
      <w:pPr>
        <w:spacing w:after="0" w:line="276" w:lineRule="auto"/>
        <w:jc w:val="both"/>
        <w:rPr>
          <w:rFonts w:cstheme="minorHAnsi"/>
        </w:rPr>
      </w:pPr>
      <w:r w:rsidRPr="008B1C76">
        <w:rPr>
          <w:rFonts w:cstheme="minorHAnsi"/>
        </w:rPr>
        <w:t xml:space="preserve">Administrator danych </w:t>
      </w:r>
    </w:p>
    <w:p w14:paraId="291B1E7D" w14:textId="77777777" w:rsidR="008B3E3A" w:rsidRPr="008B1C76" w:rsidRDefault="008B3E3A" w:rsidP="008B1C76">
      <w:pPr>
        <w:spacing w:after="0" w:line="276" w:lineRule="auto"/>
        <w:jc w:val="both"/>
        <w:rPr>
          <w:rFonts w:cstheme="minorHAnsi"/>
        </w:rPr>
      </w:pPr>
      <w:r w:rsidRPr="008B1C76">
        <w:rPr>
          <w:rFonts w:cstheme="minorHAnsi"/>
        </w:rPr>
        <w:t xml:space="preserve">Odrębnymi administratorami Państwa danych są: </w:t>
      </w:r>
    </w:p>
    <w:p w14:paraId="106D6E84" w14:textId="77777777" w:rsidR="008B3E3A" w:rsidRPr="008B1C76" w:rsidRDefault="008B3E3A" w:rsidP="004914AB">
      <w:pPr>
        <w:numPr>
          <w:ilvl w:val="0"/>
          <w:numId w:val="5"/>
        </w:numPr>
        <w:spacing w:after="0" w:line="276" w:lineRule="auto"/>
        <w:jc w:val="both"/>
        <w:rPr>
          <w:rFonts w:cstheme="minorHAnsi"/>
        </w:rPr>
      </w:pPr>
      <w:r w:rsidRPr="008B1C76">
        <w:rPr>
          <w:rFonts w:cstheme="minorHAnsi"/>
        </w:rPr>
        <w:t xml:space="preserve">Minister Funduszy i Polityki Regionalnej (dalej jako </w:t>
      </w:r>
      <w:proofErr w:type="spellStart"/>
      <w:r w:rsidRPr="008B1C76">
        <w:rPr>
          <w:rFonts w:cstheme="minorHAnsi"/>
        </w:rPr>
        <w:t>MFiPR</w:t>
      </w:r>
      <w:proofErr w:type="spellEnd"/>
      <w:r w:rsidRPr="008B1C76">
        <w:rPr>
          <w:rFonts w:cstheme="minorHAnsi"/>
        </w:rPr>
        <w:t xml:space="preserve">), w zakresie w jakim pełni funkcję Instytucji Zarządzającej (IZ) Funduszami Europejskimi na Rozwój Cyfrowy 2021-2027 (dalej jako FERC) z siedzibą przy ul. Wspólnej 2/4, 00-926 Warszawa, </w:t>
      </w:r>
    </w:p>
    <w:p w14:paraId="51356DE8" w14:textId="77777777" w:rsidR="008B3E3A" w:rsidRPr="008B1C76" w:rsidRDefault="008B3E3A" w:rsidP="004914AB">
      <w:pPr>
        <w:numPr>
          <w:ilvl w:val="0"/>
          <w:numId w:val="5"/>
        </w:numPr>
        <w:spacing w:after="0" w:line="276" w:lineRule="auto"/>
        <w:jc w:val="both"/>
        <w:rPr>
          <w:rFonts w:cstheme="minorHAnsi"/>
        </w:rPr>
      </w:pPr>
      <w:r w:rsidRPr="008B1C76">
        <w:rPr>
          <w:rFonts w:cstheme="minorHAnsi"/>
        </w:rPr>
        <w:t xml:space="preserve">Centrum Projektów Polska Cyfrowa (dalej jako CPPC) w zakresie w jakim pełni funkcje Instytucji Pośredniczącej (IP) FERC, z siedzibą przy ul. Spokojnej 13A, 01-044 Warszawa, </w:t>
      </w:r>
    </w:p>
    <w:p w14:paraId="09C640B7" w14:textId="77777777" w:rsidR="008B3E3A" w:rsidRPr="008B1C76" w:rsidRDefault="008B3E3A" w:rsidP="004914AB">
      <w:pPr>
        <w:numPr>
          <w:ilvl w:val="0"/>
          <w:numId w:val="5"/>
        </w:numPr>
        <w:spacing w:after="0" w:line="276" w:lineRule="auto"/>
        <w:jc w:val="both"/>
        <w:rPr>
          <w:rFonts w:cstheme="minorHAnsi"/>
        </w:rPr>
      </w:pPr>
      <w:r w:rsidRPr="008B1C76">
        <w:rPr>
          <w:rFonts w:cstheme="minorHAnsi"/>
        </w:rPr>
        <w:t xml:space="preserve">Centrum Projektów Polska Cyfrowa (dalej jako CPPC) w zakresie w jakim pełni funkcje Beneficjenta FERC, z siedzibą przy ul. Spokojnej 13A, 01-044 Warszawa. </w:t>
      </w:r>
    </w:p>
    <w:p w14:paraId="15AD6162" w14:textId="77777777" w:rsidR="008B3E3A" w:rsidRPr="008B1C76" w:rsidRDefault="008B3E3A" w:rsidP="008B1C76">
      <w:pPr>
        <w:spacing w:after="0" w:line="276" w:lineRule="auto"/>
        <w:jc w:val="both"/>
        <w:rPr>
          <w:rFonts w:cstheme="minorHAnsi"/>
        </w:rPr>
      </w:pPr>
    </w:p>
    <w:p w14:paraId="377DA938" w14:textId="77777777" w:rsidR="008B3E3A" w:rsidRPr="008B1C76" w:rsidRDefault="008B3E3A" w:rsidP="008B1C76">
      <w:pPr>
        <w:spacing w:after="0" w:line="276" w:lineRule="auto"/>
        <w:jc w:val="both"/>
        <w:rPr>
          <w:rFonts w:cstheme="minorHAnsi"/>
        </w:rPr>
      </w:pPr>
      <w:r w:rsidRPr="008B1C76">
        <w:rPr>
          <w:rFonts w:cstheme="minorHAnsi"/>
        </w:rPr>
        <w:t xml:space="preserve">Cel przetwarzania danych </w:t>
      </w:r>
    </w:p>
    <w:p w14:paraId="6AD1A128" w14:textId="77777777" w:rsidR="008B3E3A" w:rsidRPr="008B1C76" w:rsidRDefault="008B3E3A" w:rsidP="008B1C76">
      <w:pPr>
        <w:spacing w:after="0" w:line="276" w:lineRule="auto"/>
        <w:jc w:val="both"/>
        <w:rPr>
          <w:rFonts w:cstheme="minorHAnsi"/>
        </w:rPr>
      </w:pPr>
      <w:r w:rsidRPr="008B1C76">
        <w:rPr>
          <w:rFonts w:cstheme="minorHAnsi"/>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0720773E" w14:textId="77777777" w:rsidR="008B3E3A" w:rsidRPr="008B1C76" w:rsidRDefault="008B3E3A" w:rsidP="008B1C76">
      <w:pPr>
        <w:spacing w:after="0" w:line="276" w:lineRule="auto"/>
        <w:jc w:val="both"/>
        <w:rPr>
          <w:rFonts w:cstheme="minorHAnsi"/>
        </w:rPr>
      </w:pPr>
    </w:p>
    <w:p w14:paraId="038B34CF" w14:textId="77777777" w:rsidR="008B3E3A" w:rsidRPr="008B1C76" w:rsidRDefault="008B3E3A" w:rsidP="008B1C76">
      <w:pPr>
        <w:spacing w:after="0" w:line="276" w:lineRule="auto"/>
        <w:jc w:val="both"/>
        <w:rPr>
          <w:rFonts w:cstheme="minorHAnsi"/>
        </w:rPr>
      </w:pPr>
      <w:r w:rsidRPr="008B1C76">
        <w:rPr>
          <w:rFonts w:cstheme="minorHAnsi"/>
        </w:rPr>
        <w:t xml:space="preserve">Podstawa przetwarzania </w:t>
      </w:r>
    </w:p>
    <w:p w14:paraId="0E758DEB" w14:textId="77777777" w:rsidR="008B3E3A" w:rsidRPr="008B1C76" w:rsidRDefault="008B3E3A" w:rsidP="008B1C76">
      <w:pPr>
        <w:spacing w:after="0" w:line="276" w:lineRule="auto"/>
        <w:jc w:val="both"/>
        <w:rPr>
          <w:rFonts w:cstheme="minorHAnsi"/>
        </w:rPr>
      </w:pPr>
      <w:r w:rsidRPr="008B1C76">
        <w:rPr>
          <w:rFonts w:cstheme="minorHAnsi"/>
        </w:rPr>
        <w:t xml:space="preserve">Będziemy przetwarzać Państwa dane osobowe w związku z tym, że: </w:t>
      </w:r>
    </w:p>
    <w:p w14:paraId="4ED223FF" w14:textId="77777777" w:rsidR="008B3E3A" w:rsidRPr="008B1C76" w:rsidRDefault="008B3E3A" w:rsidP="008B1C76">
      <w:pPr>
        <w:spacing w:after="0" w:line="276" w:lineRule="auto"/>
        <w:jc w:val="both"/>
        <w:rPr>
          <w:rFonts w:cstheme="minorHAnsi"/>
        </w:rPr>
      </w:pPr>
      <w:r w:rsidRPr="008B1C76">
        <w:rPr>
          <w:rFonts w:cstheme="minorHAnsi"/>
        </w:rPr>
        <w:t xml:space="preserve">1. Zobowiązuje nas do tego prawo (art. 6 ust. 1 lit. c RODO): </w:t>
      </w:r>
    </w:p>
    <w:p w14:paraId="6EBBCD3E" w14:textId="77777777" w:rsidR="008B3E3A" w:rsidRPr="008B1C76" w:rsidRDefault="008B3E3A" w:rsidP="008B1C76">
      <w:pPr>
        <w:spacing w:after="0" w:line="276" w:lineRule="auto"/>
        <w:ind w:left="284"/>
        <w:jc w:val="both"/>
        <w:rPr>
          <w:rFonts w:cstheme="minorHAnsi"/>
        </w:rPr>
      </w:pPr>
      <w:r w:rsidRPr="008B1C76">
        <w:rPr>
          <w:rFonts w:cstheme="minorHAnsi"/>
        </w:rPr>
        <w:t xml:space="preserve">1) art. 87 ustawy wdrożeniowej, </w:t>
      </w:r>
    </w:p>
    <w:p w14:paraId="35BDBB09" w14:textId="77777777" w:rsidR="008B3E3A" w:rsidRPr="008B1C76" w:rsidRDefault="008B3E3A" w:rsidP="008B1C76">
      <w:pPr>
        <w:spacing w:after="0" w:line="276" w:lineRule="auto"/>
        <w:ind w:left="284"/>
        <w:jc w:val="both"/>
        <w:rPr>
          <w:rFonts w:cstheme="minorHAnsi"/>
        </w:rPr>
      </w:pPr>
      <w:r w:rsidRPr="008B1C76">
        <w:rPr>
          <w:rFonts w:cstheme="minorHAnsi"/>
        </w:rPr>
        <w:t xml:space="preserve">2) art. 61 ustawy z 28 kwietnia 2022 r. o zasadach realizacji zadań finansowanych ze środków europejskich w perspektywie finansowej 2021-2027 (Dz. U. z 2022 r. poz. 1079), </w:t>
      </w:r>
    </w:p>
    <w:p w14:paraId="4ABD1752" w14:textId="5AE8EE55" w:rsidR="008B3E3A" w:rsidRPr="008B1C76" w:rsidRDefault="008B3E3A" w:rsidP="008B1C76">
      <w:pPr>
        <w:spacing w:after="0" w:line="276" w:lineRule="auto"/>
        <w:ind w:left="284"/>
        <w:jc w:val="both"/>
        <w:rPr>
          <w:rFonts w:cstheme="minorHAnsi"/>
        </w:rPr>
      </w:pPr>
      <w:r w:rsidRPr="008B1C76">
        <w:rPr>
          <w:rFonts w:cstheme="minorHAnsi"/>
        </w:rPr>
        <w:t>3) ustawa z 14 czerwca 1960 r. - Kodeks postępowania administracyjnego (tekst jednolity Dz.U. z</w:t>
      </w:r>
      <w:r w:rsidR="008B1C76">
        <w:rPr>
          <w:rFonts w:cstheme="minorHAnsi"/>
        </w:rPr>
        <w:t> </w:t>
      </w:r>
      <w:r w:rsidRPr="008B1C76">
        <w:rPr>
          <w:rFonts w:cstheme="minorHAnsi"/>
        </w:rPr>
        <w:t xml:space="preserve">2023 r. poz. 775 z późn. zm.), </w:t>
      </w:r>
    </w:p>
    <w:p w14:paraId="53347077" w14:textId="77777777" w:rsidR="008B3E3A" w:rsidRPr="008B1C76" w:rsidRDefault="008B3E3A" w:rsidP="008B1C76">
      <w:pPr>
        <w:spacing w:after="0" w:line="276" w:lineRule="auto"/>
        <w:ind w:left="284"/>
        <w:jc w:val="both"/>
        <w:rPr>
          <w:rFonts w:cstheme="minorHAnsi"/>
        </w:rPr>
      </w:pPr>
      <w:r w:rsidRPr="008B1C76">
        <w:rPr>
          <w:rFonts w:cstheme="minorHAnsi"/>
        </w:rPr>
        <w:t xml:space="preserve">4) art. 206 ustawy z dnia 27 sierpnia 2009 r. o finansach publicznych (tekst jednolity Dz. U. z 2022 r. poz. 1634, z późn. zm.), </w:t>
      </w:r>
    </w:p>
    <w:p w14:paraId="1DCB709B" w14:textId="77777777" w:rsidR="008B3E3A" w:rsidRPr="008B1C76" w:rsidRDefault="008B3E3A" w:rsidP="008B1C76">
      <w:pPr>
        <w:spacing w:after="0" w:line="276" w:lineRule="auto"/>
        <w:ind w:left="284"/>
        <w:jc w:val="both"/>
        <w:rPr>
          <w:rFonts w:cstheme="minorHAnsi"/>
        </w:rPr>
      </w:pPr>
      <w:r w:rsidRPr="008B1C76">
        <w:rPr>
          <w:rFonts w:cstheme="minorHAnsi"/>
        </w:rPr>
        <w:t>5) Porozumienie trójstronne w sprawie systemu realizacji programu „Fundusze Europejskie na Rozwój Cyfrowy 2021-2027” z 2.02.2023 r.,</w:t>
      </w:r>
    </w:p>
    <w:p w14:paraId="20ABA8F3" w14:textId="2C2DEB0D" w:rsidR="008B3E3A" w:rsidRPr="008B1C76" w:rsidRDefault="008B3E3A" w:rsidP="008B1C76">
      <w:pPr>
        <w:spacing w:after="0" w:line="276" w:lineRule="auto"/>
        <w:ind w:left="284"/>
        <w:jc w:val="both"/>
        <w:rPr>
          <w:rFonts w:cstheme="minorHAnsi"/>
        </w:rPr>
      </w:pPr>
      <w:r w:rsidRPr="008B1C76">
        <w:rPr>
          <w:rFonts w:cstheme="minorHAnsi"/>
        </w:rPr>
        <w:t>6) rozporządzenia Ministra Cyfryzacji z dnia 16 lutego 2023 r. w sprawie udzielania pomocy na rozwój infrastruktury szerokopasmowej w ramach programu Fundusze Europejskie na Rozwój Cyfrowy 2021–2027 (Dz. U. z 2023 r. poz. 405), Europejskie na Rozwój Cyfrowy 2021-2027” z</w:t>
      </w:r>
      <w:r w:rsidR="008B1C76">
        <w:rPr>
          <w:rFonts w:cstheme="minorHAnsi"/>
        </w:rPr>
        <w:t> </w:t>
      </w:r>
      <w:r w:rsidRPr="008B1C76">
        <w:rPr>
          <w:rFonts w:cstheme="minorHAnsi"/>
        </w:rPr>
        <w:t xml:space="preserve">2.02.2023 r., </w:t>
      </w:r>
    </w:p>
    <w:p w14:paraId="747D466B" w14:textId="77777777" w:rsidR="008B3E3A" w:rsidRPr="008B1C76" w:rsidRDefault="008B3E3A" w:rsidP="004914AB">
      <w:pPr>
        <w:numPr>
          <w:ilvl w:val="0"/>
          <w:numId w:val="10"/>
        </w:numPr>
        <w:spacing w:after="0" w:line="276" w:lineRule="auto"/>
        <w:ind w:left="284" w:hanging="284"/>
        <w:jc w:val="both"/>
        <w:rPr>
          <w:rFonts w:cstheme="minorHAnsi"/>
        </w:rPr>
      </w:pPr>
      <w:r w:rsidRPr="008B1C76">
        <w:rPr>
          <w:rFonts w:cstheme="minorHAnsi"/>
        </w:rPr>
        <w:t xml:space="preserve">Wykonujemy zadania w interesie publicznym lub sprawujemy powierzoną nam władzę publiczną (art. 6 ust. 1 lit. e RODO), </w:t>
      </w:r>
    </w:p>
    <w:p w14:paraId="05037667" w14:textId="77777777" w:rsidR="008B3E3A" w:rsidRPr="008B1C76" w:rsidRDefault="008B3E3A" w:rsidP="004914AB">
      <w:pPr>
        <w:numPr>
          <w:ilvl w:val="0"/>
          <w:numId w:val="10"/>
        </w:numPr>
        <w:spacing w:after="0" w:line="276" w:lineRule="auto"/>
        <w:ind w:left="284" w:hanging="284"/>
        <w:jc w:val="both"/>
        <w:rPr>
          <w:rFonts w:cstheme="minorHAnsi"/>
        </w:rPr>
      </w:pPr>
      <w:r w:rsidRPr="008B1C76">
        <w:rPr>
          <w:rFonts w:cstheme="minorHAnsi"/>
        </w:rPr>
        <w:t xml:space="preserve">Przygotowujemy i realizujemy umowy, których są Państwo stroną, a przetwarzanie danych osobowych jest niezbędne do ich zawarcia i wykonania (art. 6 ust. 1 lit. b RODO). </w:t>
      </w:r>
    </w:p>
    <w:p w14:paraId="70E206E3" w14:textId="77777777" w:rsidR="008B3E3A" w:rsidRPr="008B1C76" w:rsidRDefault="008B3E3A" w:rsidP="008B1C76">
      <w:pPr>
        <w:spacing w:after="0" w:line="276" w:lineRule="auto"/>
        <w:jc w:val="both"/>
        <w:rPr>
          <w:rFonts w:cstheme="minorHAnsi"/>
        </w:rPr>
      </w:pPr>
    </w:p>
    <w:p w14:paraId="2A2F1885" w14:textId="77777777" w:rsidR="008B3E3A" w:rsidRPr="008B1C76" w:rsidRDefault="008B3E3A" w:rsidP="008B1C76">
      <w:pPr>
        <w:spacing w:after="0" w:line="276" w:lineRule="auto"/>
        <w:jc w:val="both"/>
        <w:rPr>
          <w:rFonts w:cstheme="minorHAnsi"/>
        </w:rPr>
      </w:pPr>
      <w:r w:rsidRPr="008B1C76">
        <w:rPr>
          <w:rFonts w:cstheme="minorHAnsi"/>
        </w:rPr>
        <w:t xml:space="preserve">Rodzaje przetwarzanych danych </w:t>
      </w:r>
    </w:p>
    <w:p w14:paraId="6BCC6913" w14:textId="77777777" w:rsidR="008B3E3A" w:rsidRPr="008B1C76" w:rsidRDefault="008B3E3A" w:rsidP="008B1C76">
      <w:pPr>
        <w:spacing w:after="0" w:line="276" w:lineRule="auto"/>
        <w:jc w:val="both"/>
        <w:rPr>
          <w:rFonts w:cstheme="minorHAnsi"/>
        </w:rPr>
      </w:pPr>
      <w:r w:rsidRPr="008B1C76">
        <w:rPr>
          <w:rFonts w:cstheme="minorHAnsi"/>
        </w:rPr>
        <w:t xml:space="preserve">Możemy przetwarzać następujące rodzaje Państwa danych: </w:t>
      </w:r>
    </w:p>
    <w:p w14:paraId="1BE7F80A" w14:textId="77777777" w:rsidR="008B3E3A" w:rsidRPr="008B1C76" w:rsidRDefault="008B3E3A" w:rsidP="004914AB">
      <w:pPr>
        <w:numPr>
          <w:ilvl w:val="0"/>
          <w:numId w:val="6"/>
        </w:numPr>
        <w:spacing w:after="0" w:line="276" w:lineRule="auto"/>
        <w:jc w:val="both"/>
        <w:rPr>
          <w:rFonts w:cstheme="minorHAnsi"/>
        </w:rPr>
      </w:pPr>
      <w:r w:rsidRPr="008B1C76">
        <w:rPr>
          <w:rFonts w:cstheme="minorHAnsi"/>
        </w:rPr>
        <w:lastRenderedPageBreak/>
        <w:t xml:space="preserve">dane identyfikacyjne, wskazane w art. 87 ust. 2 pkt 1 ustawy wdrożeniowej, w tym: imię, nazwisko, adres, adres poczty elektronicznej, numer telefonu, numer faksu, PESEL, REGON, wykształcenie, identyfikatory internetowe, </w:t>
      </w:r>
    </w:p>
    <w:p w14:paraId="2D234E1B" w14:textId="77777777" w:rsidR="008B3E3A" w:rsidRPr="008B1C76" w:rsidRDefault="008B3E3A" w:rsidP="004914AB">
      <w:pPr>
        <w:numPr>
          <w:ilvl w:val="0"/>
          <w:numId w:val="6"/>
        </w:numPr>
        <w:spacing w:after="0" w:line="276" w:lineRule="auto"/>
        <w:jc w:val="both"/>
        <w:rPr>
          <w:rFonts w:cstheme="minorHAnsi"/>
        </w:rPr>
      </w:pPr>
      <w:r w:rsidRPr="008B1C76">
        <w:rPr>
          <w:rFonts w:cstheme="minorHAnsi"/>
        </w:rPr>
        <w:t xml:space="preserve">dane związane z zakresem uczestnictwa osób fizycznych w projekcie, wskazane w art. 87 ust. 2 pkt 2 ustawy wdrożeniowej, w tym w szczególności: wynagrodzenie, formę i okres zaangażowania w projekcie, </w:t>
      </w:r>
    </w:p>
    <w:p w14:paraId="3E783DAC" w14:textId="77777777" w:rsidR="008B3E3A" w:rsidRPr="008B1C76" w:rsidRDefault="008B3E3A" w:rsidP="004914AB">
      <w:pPr>
        <w:numPr>
          <w:ilvl w:val="0"/>
          <w:numId w:val="6"/>
        </w:numPr>
        <w:spacing w:after="0" w:line="276" w:lineRule="auto"/>
        <w:jc w:val="both"/>
        <w:rPr>
          <w:rFonts w:cstheme="minorHAnsi"/>
        </w:rPr>
      </w:pPr>
      <w:r w:rsidRPr="008B1C76">
        <w:rPr>
          <w:rFonts w:cstheme="minorHAnsi"/>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14:paraId="25E2BD7D" w14:textId="77777777" w:rsidR="008B3E3A" w:rsidRPr="008B1C76" w:rsidRDefault="008B3E3A" w:rsidP="004914AB">
      <w:pPr>
        <w:numPr>
          <w:ilvl w:val="0"/>
          <w:numId w:val="6"/>
        </w:numPr>
        <w:spacing w:after="0" w:line="276" w:lineRule="auto"/>
        <w:jc w:val="both"/>
        <w:rPr>
          <w:rFonts w:cstheme="minorHAnsi"/>
        </w:rPr>
      </w:pPr>
      <w:r w:rsidRPr="008B1C76">
        <w:rPr>
          <w:rFonts w:cstheme="minorHAnsi"/>
        </w:rPr>
        <w:t xml:space="preserve">dane dotyczące wizerunku i głosu osób uczestniczących w realizacji Programu lub biorących udział w wydarzeniach z nim związanych. </w:t>
      </w:r>
    </w:p>
    <w:p w14:paraId="068C1B43" w14:textId="77777777" w:rsidR="008B3E3A" w:rsidRPr="008B1C76" w:rsidRDefault="008B3E3A" w:rsidP="008B1C76">
      <w:pPr>
        <w:spacing w:after="0" w:line="276" w:lineRule="auto"/>
        <w:jc w:val="both"/>
        <w:rPr>
          <w:rFonts w:cstheme="minorHAnsi"/>
        </w:rPr>
      </w:pPr>
    </w:p>
    <w:p w14:paraId="47FE8B51" w14:textId="77777777" w:rsidR="008B3E3A" w:rsidRPr="008B1C76" w:rsidRDefault="008B3E3A" w:rsidP="008B1C76">
      <w:pPr>
        <w:spacing w:after="0" w:line="276" w:lineRule="auto"/>
        <w:jc w:val="both"/>
        <w:rPr>
          <w:rFonts w:cstheme="minorHAnsi"/>
        </w:rPr>
      </w:pPr>
      <w:r w:rsidRPr="008B1C76">
        <w:rPr>
          <w:rFonts w:cstheme="minorHAnsi"/>
        </w:rPr>
        <w:t xml:space="preserve">Dane pozyskujemy bezpośrednio od osób, których one dotyczą, albo od instytucji i podmiotów zaangażowanych w realizację FERC w tym w szczególności od wnioskodawców, beneficjentów, partnerów. </w:t>
      </w:r>
    </w:p>
    <w:p w14:paraId="0B338230" w14:textId="77777777" w:rsidR="008B3E3A" w:rsidRPr="008B1C76" w:rsidRDefault="008B3E3A" w:rsidP="008B1C76">
      <w:pPr>
        <w:spacing w:after="0" w:line="276" w:lineRule="auto"/>
        <w:jc w:val="both"/>
        <w:rPr>
          <w:rFonts w:cstheme="minorHAnsi"/>
        </w:rPr>
      </w:pPr>
    </w:p>
    <w:p w14:paraId="52162428" w14:textId="77777777" w:rsidR="008B3E3A" w:rsidRPr="008B1C76" w:rsidRDefault="008B3E3A" w:rsidP="008B1C76">
      <w:pPr>
        <w:spacing w:after="0" w:line="276" w:lineRule="auto"/>
        <w:jc w:val="both"/>
        <w:rPr>
          <w:rFonts w:cstheme="minorHAnsi"/>
        </w:rPr>
      </w:pPr>
      <w:r w:rsidRPr="008B1C76">
        <w:rPr>
          <w:rFonts w:cstheme="minorHAnsi"/>
        </w:rPr>
        <w:t xml:space="preserve">Dostęp do danych osobowych </w:t>
      </w:r>
    </w:p>
    <w:p w14:paraId="3675FFA1" w14:textId="77777777" w:rsidR="008B3E3A" w:rsidRPr="008B1C76" w:rsidRDefault="008B3E3A" w:rsidP="008B1C76">
      <w:pPr>
        <w:spacing w:after="0" w:line="276" w:lineRule="auto"/>
        <w:jc w:val="both"/>
        <w:rPr>
          <w:rFonts w:cstheme="minorHAnsi"/>
        </w:rPr>
      </w:pPr>
      <w:r w:rsidRPr="008B1C76">
        <w:rPr>
          <w:rFonts w:cstheme="minorHAnsi"/>
        </w:rPr>
        <w:t xml:space="preserve">Dostęp do Państwa danych osobowych mają pracownicy i współpracownicy </w:t>
      </w:r>
      <w:proofErr w:type="spellStart"/>
      <w:r w:rsidRPr="008B1C76">
        <w:rPr>
          <w:rFonts w:cstheme="minorHAnsi"/>
        </w:rPr>
        <w:t>MFiPR</w:t>
      </w:r>
      <w:proofErr w:type="spellEnd"/>
      <w:r w:rsidRPr="008B1C76">
        <w:rPr>
          <w:rFonts w:cstheme="minorHAnsi"/>
        </w:rPr>
        <w:t xml:space="preserve"> oraz CPPC. Ponadto Państwa dane osobowe mogą być powierzane lub udostępniane: </w:t>
      </w:r>
    </w:p>
    <w:p w14:paraId="67DC88F2" w14:textId="77777777" w:rsidR="008B3E3A" w:rsidRPr="008B1C76" w:rsidRDefault="008B3E3A" w:rsidP="004914AB">
      <w:pPr>
        <w:numPr>
          <w:ilvl w:val="0"/>
          <w:numId w:val="7"/>
        </w:numPr>
        <w:spacing w:after="0" w:line="276" w:lineRule="auto"/>
        <w:jc w:val="both"/>
        <w:rPr>
          <w:rFonts w:cstheme="minorHAnsi"/>
        </w:rPr>
      </w:pPr>
      <w:r w:rsidRPr="008B1C76">
        <w:rPr>
          <w:rFonts w:cstheme="minorHAnsi"/>
        </w:rPr>
        <w:t xml:space="preserve">podmiotom, w tym ekspertom, o których mowa w art. 80 ustawy wdrożeniowej, którym zleciliśmy wykonywanie zadań w ramach realizacji FERC, </w:t>
      </w:r>
    </w:p>
    <w:p w14:paraId="127E945E" w14:textId="77777777" w:rsidR="008B3E3A" w:rsidRPr="008B1C76" w:rsidRDefault="008B3E3A" w:rsidP="004914AB">
      <w:pPr>
        <w:numPr>
          <w:ilvl w:val="0"/>
          <w:numId w:val="7"/>
        </w:numPr>
        <w:spacing w:after="0" w:line="276" w:lineRule="auto"/>
        <w:jc w:val="both"/>
        <w:rPr>
          <w:rFonts w:cstheme="minorHAnsi"/>
        </w:rPr>
      </w:pPr>
      <w:r w:rsidRPr="008B1C76">
        <w:rPr>
          <w:rFonts w:cstheme="minorHAnsi"/>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1D0E9592" w14:textId="77777777" w:rsidR="008B3E3A" w:rsidRPr="008B1C76" w:rsidRDefault="008B3E3A" w:rsidP="004914AB">
      <w:pPr>
        <w:numPr>
          <w:ilvl w:val="0"/>
          <w:numId w:val="7"/>
        </w:numPr>
        <w:spacing w:after="0" w:line="276" w:lineRule="auto"/>
        <w:jc w:val="both"/>
        <w:rPr>
          <w:rFonts w:cstheme="minorHAnsi"/>
        </w:rPr>
      </w:pPr>
      <w:r w:rsidRPr="008B1C76">
        <w:rPr>
          <w:rFonts w:cstheme="minorHAnsi"/>
        </w:rPr>
        <w:t xml:space="preserve">instytucjom Unii Europejskiej (UE) lub podmiotom, którym UE powierzyła zadania dotyczące wdrażania FERC; </w:t>
      </w:r>
    </w:p>
    <w:p w14:paraId="538CB716" w14:textId="087D3CDB" w:rsidR="008B3E3A" w:rsidRPr="008B1C76" w:rsidRDefault="008B3E3A" w:rsidP="004914AB">
      <w:pPr>
        <w:numPr>
          <w:ilvl w:val="0"/>
          <w:numId w:val="7"/>
        </w:numPr>
        <w:spacing w:after="0" w:line="276" w:lineRule="auto"/>
        <w:jc w:val="both"/>
        <w:rPr>
          <w:rFonts w:cstheme="minorHAnsi"/>
        </w:rPr>
      </w:pPr>
      <w:r w:rsidRPr="008B1C76">
        <w:rPr>
          <w:rFonts w:cstheme="minorHAnsi"/>
        </w:rPr>
        <w:t>podmiotom, które wykonują dla nas usługi związane z obsługą i rozwojem systemów teleinformatycznych, a także zapewnieniem łączności, np. dostawcom rozwiązań IT i</w:t>
      </w:r>
      <w:r w:rsidR="008B1C76">
        <w:rPr>
          <w:rFonts w:cstheme="minorHAnsi"/>
        </w:rPr>
        <w:t> </w:t>
      </w:r>
      <w:r w:rsidRPr="008B1C76">
        <w:rPr>
          <w:rFonts w:cstheme="minorHAnsi"/>
        </w:rPr>
        <w:t xml:space="preserve">operatorom telekomunikacyjnym. </w:t>
      </w:r>
    </w:p>
    <w:p w14:paraId="5858B7E8" w14:textId="77777777" w:rsidR="008B3E3A" w:rsidRPr="008B1C76" w:rsidRDefault="008B3E3A" w:rsidP="008B1C76">
      <w:pPr>
        <w:spacing w:after="0" w:line="276" w:lineRule="auto"/>
        <w:jc w:val="both"/>
        <w:rPr>
          <w:rFonts w:cstheme="minorHAnsi"/>
        </w:rPr>
      </w:pPr>
    </w:p>
    <w:p w14:paraId="5E943538" w14:textId="77777777" w:rsidR="008B3E3A" w:rsidRPr="008B1C76" w:rsidRDefault="008B3E3A" w:rsidP="008B1C76">
      <w:pPr>
        <w:spacing w:after="0" w:line="276" w:lineRule="auto"/>
        <w:jc w:val="both"/>
        <w:rPr>
          <w:rFonts w:cstheme="minorHAnsi"/>
        </w:rPr>
      </w:pPr>
      <w:r w:rsidRPr="008B1C76">
        <w:rPr>
          <w:rFonts w:cstheme="minorHAnsi"/>
        </w:rPr>
        <w:t xml:space="preserve">Okres przechowywania danych </w:t>
      </w:r>
    </w:p>
    <w:p w14:paraId="76CA7B6F" w14:textId="223FFD90" w:rsidR="008B3E3A" w:rsidRPr="008B1C76" w:rsidRDefault="008B3E3A" w:rsidP="008B1C76">
      <w:pPr>
        <w:spacing w:after="0" w:line="276" w:lineRule="auto"/>
        <w:jc w:val="both"/>
        <w:rPr>
          <w:rFonts w:cstheme="minorHAnsi"/>
        </w:rPr>
      </w:pPr>
      <w:r w:rsidRPr="008B1C76">
        <w:rPr>
          <w:rFonts w:cstheme="minorHAnsi"/>
        </w:rPr>
        <w:t>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w:t>
      </w:r>
      <w:r w:rsidR="008B1C76">
        <w:rPr>
          <w:rFonts w:cstheme="minorHAnsi"/>
        </w:rPr>
        <w:t> </w:t>
      </w:r>
      <w:r w:rsidRPr="008B1C76">
        <w:rPr>
          <w:rFonts w:cstheme="minorHAnsi"/>
        </w:rPr>
        <w:t xml:space="preserve">pomocy de minimis oraz przepisów dotyczących podatku od towarów i usług. </w:t>
      </w:r>
    </w:p>
    <w:p w14:paraId="50EE4636" w14:textId="77777777" w:rsidR="008B3E3A" w:rsidRPr="008B1C76" w:rsidRDefault="008B3E3A" w:rsidP="008B1C76">
      <w:pPr>
        <w:spacing w:after="0" w:line="276" w:lineRule="auto"/>
        <w:jc w:val="both"/>
        <w:rPr>
          <w:rFonts w:cstheme="minorHAnsi"/>
        </w:rPr>
      </w:pPr>
    </w:p>
    <w:p w14:paraId="60086D3E" w14:textId="77777777" w:rsidR="008B3E3A" w:rsidRPr="008B1C76" w:rsidRDefault="008B3E3A" w:rsidP="008B1C76">
      <w:pPr>
        <w:spacing w:after="0" w:line="276" w:lineRule="auto"/>
        <w:jc w:val="both"/>
        <w:rPr>
          <w:rFonts w:cstheme="minorHAnsi"/>
        </w:rPr>
      </w:pPr>
      <w:r w:rsidRPr="008B1C76">
        <w:rPr>
          <w:rFonts w:cstheme="minorHAnsi"/>
        </w:rPr>
        <w:t xml:space="preserve">Prawa osób, których dane dotyczą </w:t>
      </w:r>
    </w:p>
    <w:p w14:paraId="3E53C561" w14:textId="77777777" w:rsidR="008B3E3A" w:rsidRPr="008B1C76" w:rsidRDefault="008B3E3A" w:rsidP="008B1C76">
      <w:pPr>
        <w:spacing w:after="0" w:line="276" w:lineRule="auto"/>
        <w:jc w:val="both"/>
        <w:rPr>
          <w:rFonts w:cstheme="minorHAnsi"/>
        </w:rPr>
      </w:pPr>
      <w:r w:rsidRPr="008B1C76">
        <w:rPr>
          <w:rFonts w:cstheme="minorHAnsi"/>
        </w:rPr>
        <w:t xml:space="preserve">Przysługują Państwu następujące prawa: </w:t>
      </w:r>
    </w:p>
    <w:p w14:paraId="2EC7FC9F"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lastRenderedPageBreak/>
        <w:t xml:space="preserve">dostępu do swoich danych osobowych oraz otrzymania ich kopii (art. 15 RODO), </w:t>
      </w:r>
    </w:p>
    <w:p w14:paraId="49332632"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t xml:space="preserve">do sprostowania swoich danych (art. 16 RODO), </w:t>
      </w:r>
    </w:p>
    <w:p w14:paraId="4A4D1C1D"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t xml:space="preserve">do usunięcia swoich danych (art. 17 RODO) - jeśli dotyczy, </w:t>
      </w:r>
    </w:p>
    <w:p w14:paraId="0B3C571C"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t xml:space="preserve">do żądania od administratora ograniczenia przetwarzania swoich danych (art. 18 RODO), </w:t>
      </w:r>
    </w:p>
    <w:p w14:paraId="24E68718"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3AD966DB" w14:textId="77777777" w:rsidR="008B3E3A" w:rsidRPr="008B1C76" w:rsidRDefault="008B3E3A" w:rsidP="004914AB">
      <w:pPr>
        <w:numPr>
          <w:ilvl w:val="0"/>
          <w:numId w:val="8"/>
        </w:numPr>
        <w:spacing w:after="0" w:line="276" w:lineRule="auto"/>
        <w:jc w:val="both"/>
        <w:rPr>
          <w:rFonts w:cstheme="minorHAnsi"/>
        </w:rPr>
      </w:pPr>
      <w:r w:rsidRPr="008B1C76">
        <w:rPr>
          <w:rFonts w:cstheme="minorHAnsi"/>
        </w:rPr>
        <w:t xml:space="preserve">wniesienia skargi do organu nadzorczego (art. 77 RODO), tj. Prezesa Urzędu Ochrony Danych Osobowych, w przypadku uznania, że przetwarzanie danych osobowych narusza przepisy RODO lub inne przepisy prawa regulujące kwestię ochrony danych osobowych. </w:t>
      </w:r>
    </w:p>
    <w:p w14:paraId="414BAFCF" w14:textId="77777777" w:rsidR="008B3E3A" w:rsidRPr="008B1C76" w:rsidRDefault="008B3E3A" w:rsidP="008B1C76">
      <w:pPr>
        <w:spacing w:after="0" w:line="276" w:lineRule="auto"/>
        <w:jc w:val="both"/>
        <w:rPr>
          <w:rFonts w:cstheme="minorHAnsi"/>
        </w:rPr>
      </w:pPr>
    </w:p>
    <w:p w14:paraId="0FA46049" w14:textId="77777777" w:rsidR="008B3E3A" w:rsidRPr="008B1C76" w:rsidRDefault="008B3E3A" w:rsidP="008B1C76">
      <w:pPr>
        <w:spacing w:after="0" w:line="276" w:lineRule="auto"/>
        <w:jc w:val="both"/>
        <w:rPr>
          <w:rFonts w:cstheme="minorHAnsi"/>
        </w:rPr>
      </w:pPr>
      <w:r w:rsidRPr="008B1C76">
        <w:rPr>
          <w:rFonts w:cstheme="minorHAnsi"/>
        </w:rPr>
        <w:t xml:space="preserve">Zautomatyzowane podejmowanie decyzji </w:t>
      </w:r>
    </w:p>
    <w:p w14:paraId="300E79F5" w14:textId="77777777" w:rsidR="008B3E3A" w:rsidRPr="008B1C76" w:rsidRDefault="008B3E3A" w:rsidP="008B1C76">
      <w:pPr>
        <w:spacing w:after="0" w:line="276" w:lineRule="auto"/>
        <w:jc w:val="both"/>
        <w:rPr>
          <w:rFonts w:cstheme="minorHAnsi"/>
        </w:rPr>
      </w:pPr>
      <w:r w:rsidRPr="008B1C76">
        <w:rPr>
          <w:rFonts w:cstheme="minorHAnsi"/>
        </w:rPr>
        <w:t xml:space="preserve">Dane osobowe nie będą podlegały zautomatyzowanemu podejmowaniu decyzji, w tym profilowaniu. </w:t>
      </w:r>
    </w:p>
    <w:p w14:paraId="366970A4" w14:textId="77777777" w:rsidR="008B3E3A" w:rsidRPr="008B1C76" w:rsidRDefault="008B3E3A" w:rsidP="008B1C76">
      <w:pPr>
        <w:spacing w:after="0" w:line="276" w:lineRule="auto"/>
        <w:jc w:val="both"/>
        <w:rPr>
          <w:rFonts w:cstheme="minorHAnsi"/>
        </w:rPr>
      </w:pPr>
    </w:p>
    <w:p w14:paraId="061305BE" w14:textId="77777777" w:rsidR="008B3E3A" w:rsidRPr="008B1C76" w:rsidRDefault="008B3E3A" w:rsidP="008B1C76">
      <w:pPr>
        <w:spacing w:after="0" w:line="276" w:lineRule="auto"/>
        <w:jc w:val="both"/>
        <w:rPr>
          <w:rFonts w:cstheme="minorHAnsi"/>
        </w:rPr>
      </w:pPr>
      <w:r w:rsidRPr="008B1C76">
        <w:rPr>
          <w:rFonts w:cstheme="minorHAnsi"/>
        </w:rPr>
        <w:t xml:space="preserve">Przekazywanie danych do państwa trzeciego </w:t>
      </w:r>
    </w:p>
    <w:p w14:paraId="22D00C69" w14:textId="729CC223" w:rsidR="008B3E3A" w:rsidRPr="008B1C76" w:rsidRDefault="008B3E3A" w:rsidP="008B1C76">
      <w:pPr>
        <w:spacing w:after="0" w:line="276" w:lineRule="auto"/>
        <w:jc w:val="both"/>
        <w:rPr>
          <w:rFonts w:cstheme="minorHAnsi"/>
        </w:rPr>
      </w:pPr>
      <w:r w:rsidRPr="008B1C76">
        <w:rPr>
          <w:rFonts w:cstheme="minorHAnsi"/>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w:t>
      </w:r>
      <w:r w:rsidR="008B1C76">
        <w:rPr>
          <w:rFonts w:cstheme="minorHAnsi"/>
        </w:rPr>
        <w:t> </w:t>
      </w:r>
      <w:r w:rsidRPr="008B1C76">
        <w:rPr>
          <w:rFonts w:cstheme="minorHAnsi"/>
        </w:rPr>
        <w:t xml:space="preserve">zachowaniem warunków określonych w art. 45 lub 46 RODO. </w:t>
      </w:r>
    </w:p>
    <w:p w14:paraId="2278EF70" w14:textId="77777777" w:rsidR="008B3E3A" w:rsidRPr="008B1C76" w:rsidRDefault="008B3E3A" w:rsidP="008B1C76">
      <w:pPr>
        <w:spacing w:after="0" w:line="276" w:lineRule="auto"/>
        <w:jc w:val="both"/>
        <w:rPr>
          <w:rFonts w:cstheme="minorHAnsi"/>
        </w:rPr>
      </w:pPr>
    </w:p>
    <w:p w14:paraId="1486669E" w14:textId="77777777" w:rsidR="008B3E3A" w:rsidRPr="008B1C76" w:rsidRDefault="008B3E3A" w:rsidP="008B1C76">
      <w:pPr>
        <w:spacing w:after="0" w:line="276" w:lineRule="auto"/>
        <w:jc w:val="both"/>
        <w:rPr>
          <w:rFonts w:cstheme="minorHAnsi"/>
        </w:rPr>
      </w:pPr>
      <w:r w:rsidRPr="008B1C76">
        <w:rPr>
          <w:rFonts w:cstheme="minorHAnsi"/>
        </w:rPr>
        <w:t xml:space="preserve">Kontakt z administratorem danych i Inspektorem Ochrony Danych </w:t>
      </w:r>
    </w:p>
    <w:p w14:paraId="031B8774" w14:textId="77777777" w:rsidR="008B3E3A" w:rsidRPr="008B1C76" w:rsidRDefault="008B3E3A" w:rsidP="008B1C76">
      <w:pPr>
        <w:spacing w:after="0" w:line="276" w:lineRule="auto"/>
        <w:jc w:val="both"/>
        <w:rPr>
          <w:rFonts w:cstheme="minorHAnsi"/>
        </w:rPr>
      </w:pPr>
      <w:r w:rsidRPr="008B1C76">
        <w:rPr>
          <w:rFonts w:cstheme="minorHAnsi"/>
        </w:rPr>
        <w:t xml:space="preserve">Jeśli mają Państwo pytania dotyczące przetwarzania przez CPPC danych osobowych, prosimy kontaktować z Inspektorami Ochrony Danych Osobowych (dalej jako IOD) w następujący sposób: </w:t>
      </w:r>
    </w:p>
    <w:p w14:paraId="52282EA1" w14:textId="77777777" w:rsidR="008B3E3A" w:rsidRPr="008B1C76" w:rsidRDefault="008B3E3A" w:rsidP="008B1C76">
      <w:pPr>
        <w:spacing w:after="0" w:line="276" w:lineRule="auto"/>
        <w:jc w:val="both"/>
        <w:rPr>
          <w:rFonts w:cstheme="minorHAnsi"/>
        </w:rPr>
      </w:pPr>
      <w:r w:rsidRPr="008B1C76">
        <w:rPr>
          <w:rFonts w:cstheme="minorHAnsi"/>
        </w:rPr>
        <w:t xml:space="preserve">1. IOD </w:t>
      </w:r>
      <w:proofErr w:type="spellStart"/>
      <w:r w:rsidRPr="008B1C76">
        <w:rPr>
          <w:rFonts w:cstheme="minorHAnsi"/>
        </w:rPr>
        <w:t>MFiPR</w:t>
      </w:r>
      <w:proofErr w:type="spellEnd"/>
      <w:r w:rsidRPr="008B1C76">
        <w:rPr>
          <w:rFonts w:cstheme="minorHAnsi"/>
        </w:rPr>
        <w:t xml:space="preserve">: </w:t>
      </w:r>
    </w:p>
    <w:p w14:paraId="6A91A6E3" w14:textId="77777777" w:rsidR="008B3E3A" w:rsidRPr="008B1C76" w:rsidRDefault="008B3E3A" w:rsidP="008B1C76">
      <w:pPr>
        <w:spacing w:after="0" w:line="276" w:lineRule="auto"/>
        <w:ind w:left="426"/>
        <w:jc w:val="both"/>
        <w:rPr>
          <w:rFonts w:cstheme="minorHAnsi"/>
        </w:rPr>
      </w:pPr>
      <w:r w:rsidRPr="008B1C76">
        <w:rPr>
          <w:rFonts w:cstheme="minorHAnsi"/>
        </w:rPr>
        <w:t xml:space="preserve">1) pocztą tradycyjną kierując korespondencję na adres: ul. Wspólna 2/4, 00-926 Warszawa, </w:t>
      </w:r>
    </w:p>
    <w:p w14:paraId="70BC3F7C" w14:textId="77777777" w:rsidR="008B3E3A" w:rsidRPr="008B1C76" w:rsidRDefault="008B3E3A" w:rsidP="008B1C76">
      <w:pPr>
        <w:spacing w:after="0" w:line="276" w:lineRule="auto"/>
        <w:ind w:left="426"/>
        <w:jc w:val="both"/>
        <w:rPr>
          <w:rFonts w:cstheme="minorHAnsi"/>
        </w:rPr>
      </w:pPr>
      <w:r w:rsidRPr="008B1C76">
        <w:rPr>
          <w:rFonts w:cstheme="minorHAnsi"/>
        </w:rPr>
        <w:t xml:space="preserve">2) elektronicznie na adres e-mail: IOD@mfipr.gov.pl, </w:t>
      </w:r>
    </w:p>
    <w:p w14:paraId="00DC5CE8" w14:textId="77777777" w:rsidR="008B3E3A" w:rsidRPr="008B1C76" w:rsidRDefault="008B3E3A" w:rsidP="008B1C76">
      <w:pPr>
        <w:spacing w:after="0" w:line="276" w:lineRule="auto"/>
        <w:jc w:val="both"/>
        <w:rPr>
          <w:rFonts w:cstheme="minorHAnsi"/>
        </w:rPr>
      </w:pPr>
      <w:r w:rsidRPr="008B1C76">
        <w:rPr>
          <w:rFonts w:cstheme="minorHAnsi"/>
        </w:rPr>
        <w:t xml:space="preserve">2. IOD CPPC: </w:t>
      </w:r>
    </w:p>
    <w:p w14:paraId="20E4D047" w14:textId="77777777" w:rsidR="008B3E3A" w:rsidRPr="008B1C76" w:rsidRDefault="008B3E3A" w:rsidP="008B1C76">
      <w:pPr>
        <w:spacing w:after="0" w:line="276" w:lineRule="auto"/>
        <w:ind w:left="426"/>
        <w:jc w:val="both"/>
        <w:rPr>
          <w:rFonts w:cstheme="minorHAnsi"/>
        </w:rPr>
      </w:pPr>
      <w:r w:rsidRPr="008B1C76">
        <w:rPr>
          <w:rFonts w:cstheme="minorHAnsi"/>
        </w:rPr>
        <w:t xml:space="preserve">1) pocztą tradycyjną kierując korespondencję na adres: ul. Spokojna 13A, 01-044 Warszawa, </w:t>
      </w:r>
    </w:p>
    <w:p w14:paraId="0516FCC7" w14:textId="77777777" w:rsidR="008B3E3A" w:rsidRPr="008B1C76" w:rsidRDefault="008B3E3A" w:rsidP="008B1C76">
      <w:pPr>
        <w:spacing w:after="0" w:line="276" w:lineRule="auto"/>
        <w:ind w:left="426"/>
        <w:jc w:val="both"/>
        <w:rPr>
          <w:rFonts w:cstheme="minorHAnsi"/>
        </w:rPr>
      </w:pPr>
      <w:r w:rsidRPr="008B1C76">
        <w:rPr>
          <w:rFonts w:cstheme="minorHAnsi"/>
        </w:rPr>
        <w:t xml:space="preserve">2) elektronicznie na adres e-mail: bezpieczenstwo@cppc.gov.pl. </w:t>
      </w:r>
    </w:p>
    <w:p w14:paraId="5DEC1A1F" w14:textId="77777777" w:rsidR="008B3E3A" w:rsidRPr="008B1C76" w:rsidRDefault="008B3E3A" w:rsidP="008B1C76">
      <w:pPr>
        <w:spacing w:after="0" w:line="276" w:lineRule="auto"/>
        <w:jc w:val="both"/>
        <w:rPr>
          <w:rFonts w:cstheme="minorHAnsi"/>
        </w:rPr>
      </w:pPr>
    </w:p>
    <w:p w14:paraId="45B305D2" w14:textId="77777777" w:rsidR="008B3E3A" w:rsidRPr="008B1C76" w:rsidRDefault="008B3E3A" w:rsidP="008B1C76">
      <w:pPr>
        <w:spacing w:after="0" w:line="276" w:lineRule="auto"/>
        <w:jc w:val="both"/>
        <w:rPr>
          <w:rFonts w:cstheme="minorHAnsi"/>
        </w:rPr>
      </w:pPr>
      <w:r w:rsidRPr="008B1C76">
        <w:rPr>
          <w:rFonts w:cstheme="minorHAnsi"/>
        </w:rPr>
        <w:t xml:space="preserve">Podstawa prawna: </w:t>
      </w:r>
    </w:p>
    <w:p w14:paraId="7FF31051" w14:textId="77777777" w:rsidR="008B3E3A" w:rsidRPr="008B1C76" w:rsidRDefault="008B3E3A" w:rsidP="004914AB">
      <w:pPr>
        <w:numPr>
          <w:ilvl w:val="0"/>
          <w:numId w:val="9"/>
        </w:numPr>
        <w:spacing w:after="0" w:line="276" w:lineRule="auto"/>
        <w:jc w:val="both"/>
        <w:rPr>
          <w:rFonts w:cstheme="minorHAnsi"/>
        </w:rPr>
      </w:pPr>
      <w:r w:rsidRPr="008B1C76">
        <w:rPr>
          <w:rFonts w:cstheme="minorHAnsi"/>
        </w:rPr>
        <w:t xml:space="preserve">ustawa wdrożeniowa - ustawa z 28 kwietnia 2022 r. o zasadach realizacji zadań finansowanych ze środków europejskich w perspektywie finansowej 2021-2027 (Dz. U. z 2022 r., poz. 1079), </w:t>
      </w:r>
    </w:p>
    <w:p w14:paraId="2AC5FB1F" w14:textId="4A983A57" w:rsidR="008B3E3A" w:rsidRPr="008B3E3A" w:rsidRDefault="008B3E3A" w:rsidP="004914AB">
      <w:pPr>
        <w:numPr>
          <w:ilvl w:val="0"/>
          <w:numId w:val="9"/>
        </w:numPr>
        <w:spacing w:after="0" w:line="276" w:lineRule="auto"/>
        <w:jc w:val="both"/>
        <w:rPr>
          <w:rFonts w:cstheme="minorHAnsi"/>
          <w:sz w:val="20"/>
          <w:szCs w:val="20"/>
        </w:rPr>
      </w:pPr>
      <w:r w:rsidRPr="008B1C76">
        <w:rPr>
          <w:rFonts w:cstheme="minorHAnsi"/>
        </w:rPr>
        <w:t xml:space="preserve">RODO - rozporządzenie Parlamentu Europejskiego i Rady (UE) 2016/679 z 27 kwietnia 2016 r. w sprawie ochrony osób fizycznych w związku z przetwarzaniem danych osobowych i </w:t>
      </w:r>
      <w:r w:rsidR="008B1C76">
        <w:rPr>
          <w:rFonts w:cstheme="minorHAnsi"/>
        </w:rPr>
        <w:t> w </w:t>
      </w:r>
      <w:r w:rsidRPr="008B1C76">
        <w:rPr>
          <w:rFonts w:cstheme="minorHAnsi"/>
        </w:rPr>
        <w:t xml:space="preserve">sprawie swobodnego przepływu takich danych (Dz. Urz. UE. L 119 z 4 maja 2016 r., s.1-88; Dz. Urz. UE L 127 z 23 maja 2018, str. 2 oraz Dz. Urz. UE L 74 z 4 marca 2021, str. 35). </w:t>
      </w:r>
    </w:p>
    <w:p w14:paraId="2AFF73A2" w14:textId="77777777" w:rsidR="004116C6" w:rsidRDefault="004116C6" w:rsidP="004116C6">
      <w:pPr>
        <w:spacing w:line="276" w:lineRule="auto"/>
        <w:jc w:val="both"/>
      </w:pPr>
    </w:p>
    <w:sectPr w:rsidR="004116C6" w:rsidSect="00176BE4">
      <w:footerReference w:type="default" r:id="rId8"/>
      <w:headerReference w:type="first" r:id="rId9"/>
      <w:footerReference w:type="first" r:id="rId10"/>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1765E" w14:textId="77777777" w:rsidR="00A15D47" w:rsidRDefault="00A15D47" w:rsidP="00C145D9">
      <w:pPr>
        <w:spacing w:after="0" w:line="240" w:lineRule="auto"/>
      </w:pPr>
      <w:r>
        <w:separator/>
      </w:r>
    </w:p>
  </w:endnote>
  <w:endnote w:type="continuationSeparator" w:id="0">
    <w:p w14:paraId="5E1FC192" w14:textId="77777777" w:rsidR="00A15D47" w:rsidRDefault="00A15D47" w:rsidP="00C14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6581468"/>
      <w:docPartObj>
        <w:docPartGallery w:val="Page Numbers (Bottom of Page)"/>
        <w:docPartUnique/>
      </w:docPartObj>
    </w:sdtPr>
    <w:sdtEndPr/>
    <w:sdtContent>
      <w:p w14:paraId="7D3CE335" w14:textId="31A8F07A" w:rsidR="00CD1574" w:rsidRDefault="00CD1574">
        <w:pPr>
          <w:pStyle w:val="Stopka"/>
          <w:jc w:val="right"/>
        </w:pPr>
        <w:r>
          <w:fldChar w:fldCharType="begin"/>
        </w:r>
        <w:r>
          <w:instrText>PAGE   \* MERGEFORMAT</w:instrText>
        </w:r>
        <w:r>
          <w:fldChar w:fldCharType="separate"/>
        </w:r>
        <w:r>
          <w:t>2</w:t>
        </w:r>
        <w:r>
          <w:fldChar w:fldCharType="end"/>
        </w:r>
      </w:p>
    </w:sdtContent>
  </w:sdt>
  <w:p w14:paraId="566509FC" w14:textId="77777777" w:rsidR="00CD1574" w:rsidRDefault="00CD15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855217"/>
      <w:docPartObj>
        <w:docPartGallery w:val="Page Numbers (Bottom of Page)"/>
        <w:docPartUnique/>
      </w:docPartObj>
    </w:sdtPr>
    <w:sdtEndPr/>
    <w:sdtContent>
      <w:p w14:paraId="14D32D35" w14:textId="07F76CA5" w:rsidR="00CD1574" w:rsidRDefault="0089651A">
        <w:pPr>
          <w:pStyle w:val="Stopka"/>
          <w:jc w:val="right"/>
        </w:pPr>
        <w:r w:rsidRPr="00374948">
          <w:rPr>
            <w:noProof/>
          </w:rPr>
          <w:drawing>
            <wp:anchor distT="0" distB="0" distL="114300" distR="114300" simplePos="0" relativeHeight="251661312" behindDoc="1" locked="0" layoutInCell="1" allowOverlap="1" wp14:anchorId="413020D2" wp14:editId="1C172B8C">
              <wp:simplePos x="0" y="0"/>
              <wp:positionH relativeFrom="margin">
                <wp:posOffset>1485900</wp:posOffset>
              </wp:positionH>
              <wp:positionV relativeFrom="paragraph">
                <wp:posOffset>71120</wp:posOffset>
              </wp:positionV>
              <wp:extent cx="2849880" cy="511175"/>
              <wp:effectExtent l="0" t="0" r="7620" b="3175"/>
              <wp:wrapNone/>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49880" cy="511175"/>
                      </a:xfrm>
                      <a:prstGeom prst="rect">
                        <a:avLst/>
                      </a:prstGeom>
                    </pic:spPr>
                  </pic:pic>
                </a:graphicData>
              </a:graphic>
            </wp:anchor>
          </w:drawing>
        </w:r>
        <w:r w:rsidR="00CD1574">
          <w:fldChar w:fldCharType="begin"/>
        </w:r>
        <w:r w:rsidR="00CD1574">
          <w:instrText>PAGE   \* MERGEFORMAT</w:instrText>
        </w:r>
        <w:r w:rsidR="00CD1574">
          <w:fldChar w:fldCharType="separate"/>
        </w:r>
        <w:r w:rsidR="00CD1574">
          <w:t>2</w:t>
        </w:r>
        <w:r w:rsidR="00CD1574">
          <w:fldChar w:fldCharType="end"/>
        </w:r>
      </w:p>
    </w:sdtContent>
  </w:sdt>
  <w:p w14:paraId="553F3CA0" w14:textId="16F6751C" w:rsidR="00CD1574" w:rsidRDefault="00CD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AD961" w14:textId="77777777" w:rsidR="00A15D47" w:rsidRDefault="00A15D47" w:rsidP="00C145D9">
      <w:pPr>
        <w:spacing w:after="0" w:line="240" w:lineRule="auto"/>
      </w:pPr>
      <w:r>
        <w:separator/>
      </w:r>
    </w:p>
  </w:footnote>
  <w:footnote w:type="continuationSeparator" w:id="0">
    <w:p w14:paraId="2277660A" w14:textId="77777777" w:rsidR="00A15D47" w:rsidRDefault="00A15D47" w:rsidP="00C14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9ECCA" w14:textId="6A8EADFA" w:rsidR="007B02B3" w:rsidRDefault="0089651A" w:rsidP="007B02B3">
    <w:pPr>
      <w:pStyle w:val="Nagwek"/>
    </w:pPr>
    <w:r>
      <w:rPr>
        <w:noProof/>
      </w:rPr>
      <w:drawing>
        <wp:anchor distT="0" distB="0" distL="114300" distR="114300" simplePos="0" relativeHeight="251659264" behindDoc="1" locked="0" layoutInCell="1" allowOverlap="1" wp14:anchorId="7EB53F29" wp14:editId="4F6FA0FE">
          <wp:simplePos x="0" y="0"/>
          <wp:positionH relativeFrom="margin">
            <wp:posOffset>-373380</wp:posOffset>
          </wp:positionH>
          <wp:positionV relativeFrom="paragraph">
            <wp:posOffset>-99695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0C4"/>
    <w:multiLevelType w:val="multilevel"/>
    <w:tmpl w:val="FB3CC4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33A0C"/>
    <w:multiLevelType w:val="hybridMultilevel"/>
    <w:tmpl w:val="16B2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3194D"/>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391066"/>
    <w:multiLevelType w:val="hybridMultilevel"/>
    <w:tmpl w:val="9C4C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D4567"/>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3B3A1F"/>
    <w:multiLevelType w:val="hybridMultilevel"/>
    <w:tmpl w:val="FDE0F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86717E"/>
    <w:multiLevelType w:val="multilevel"/>
    <w:tmpl w:val="0D7A54D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9D65973"/>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114833"/>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8A65E0"/>
    <w:multiLevelType w:val="multilevel"/>
    <w:tmpl w:val="9E8248AC"/>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C4063A"/>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41404A"/>
    <w:multiLevelType w:val="hybridMultilevel"/>
    <w:tmpl w:val="3FC6D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222FD"/>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05000C"/>
    <w:multiLevelType w:val="multilevel"/>
    <w:tmpl w:val="9E8248AC"/>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BE337F"/>
    <w:multiLevelType w:val="multilevel"/>
    <w:tmpl w:val="A23EC252"/>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AAE1E3F"/>
    <w:multiLevelType w:val="multilevel"/>
    <w:tmpl w:val="9E8248AC"/>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125BE2"/>
    <w:multiLevelType w:val="multilevel"/>
    <w:tmpl w:val="9E8248AC"/>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5851FF"/>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B8154A"/>
    <w:multiLevelType w:val="multilevel"/>
    <w:tmpl w:val="12C8077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B12144"/>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26922A6"/>
    <w:multiLevelType w:val="hybridMultilevel"/>
    <w:tmpl w:val="C6EA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6E3EAA"/>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61036F3"/>
    <w:multiLevelType w:val="multilevel"/>
    <w:tmpl w:val="0D7A54D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618719E"/>
    <w:multiLevelType w:val="hybridMultilevel"/>
    <w:tmpl w:val="6304247E"/>
    <w:lvl w:ilvl="0" w:tplc="62E6911E">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B1B38C9"/>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B8E7D72"/>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F347181"/>
    <w:multiLevelType w:val="multilevel"/>
    <w:tmpl w:val="A23EC252"/>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53F527D"/>
    <w:multiLevelType w:val="multilevel"/>
    <w:tmpl w:val="12C8077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55F03FD"/>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9774A9"/>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DB32352"/>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0970935"/>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1469C7"/>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4D1196B"/>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70D46A0"/>
    <w:multiLevelType w:val="hybridMultilevel"/>
    <w:tmpl w:val="3F96B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1B4DF8"/>
    <w:multiLevelType w:val="multilevel"/>
    <w:tmpl w:val="B7E2F3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8DA767A"/>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93C2510"/>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6173C66"/>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362AF4"/>
    <w:multiLevelType w:val="multilevel"/>
    <w:tmpl w:val="9E8248AC"/>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3"/>
  </w:num>
  <w:num w:numId="3">
    <w:abstractNumId w:val="34"/>
  </w:num>
  <w:num w:numId="4">
    <w:abstractNumId w:val="39"/>
  </w:num>
  <w:num w:numId="5">
    <w:abstractNumId w:val="1"/>
  </w:num>
  <w:num w:numId="6">
    <w:abstractNumId w:val="6"/>
  </w:num>
  <w:num w:numId="7">
    <w:abstractNumId w:val="3"/>
  </w:num>
  <w:num w:numId="8">
    <w:abstractNumId w:val="21"/>
  </w:num>
  <w:num w:numId="9">
    <w:abstractNumId w:val="12"/>
  </w:num>
  <w:num w:numId="10">
    <w:abstractNumId w:val="24"/>
  </w:num>
  <w:num w:numId="11">
    <w:abstractNumId w:val="37"/>
  </w:num>
  <w:num w:numId="12">
    <w:abstractNumId w:val="28"/>
  </w:num>
  <w:num w:numId="13">
    <w:abstractNumId w:val="0"/>
  </w:num>
  <w:num w:numId="14">
    <w:abstractNumId w:val="5"/>
  </w:num>
  <w:num w:numId="15">
    <w:abstractNumId w:val="32"/>
  </w:num>
  <w:num w:numId="16">
    <w:abstractNumId w:val="20"/>
  </w:num>
  <w:num w:numId="17">
    <w:abstractNumId w:val="30"/>
  </w:num>
  <w:num w:numId="18">
    <w:abstractNumId w:val="35"/>
  </w:num>
  <w:num w:numId="19">
    <w:abstractNumId w:val="7"/>
  </w:num>
  <w:num w:numId="20">
    <w:abstractNumId w:val="19"/>
  </w:num>
  <w:num w:numId="21">
    <w:abstractNumId w:val="13"/>
  </w:num>
  <w:num w:numId="22">
    <w:abstractNumId w:val="15"/>
  </w:num>
  <w:num w:numId="23">
    <w:abstractNumId w:val="36"/>
  </w:num>
  <w:num w:numId="24">
    <w:abstractNumId w:val="8"/>
  </w:num>
  <w:num w:numId="25">
    <w:abstractNumId w:val="33"/>
  </w:num>
  <w:num w:numId="26">
    <w:abstractNumId w:val="18"/>
  </w:num>
  <w:num w:numId="27">
    <w:abstractNumId w:val="25"/>
  </w:num>
  <w:num w:numId="28">
    <w:abstractNumId w:val="26"/>
  </w:num>
  <w:num w:numId="29">
    <w:abstractNumId w:val="22"/>
  </w:num>
  <w:num w:numId="30">
    <w:abstractNumId w:val="31"/>
  </w:num>
  <w:num w:numId="31">
    <w:abstractNumId w:val="11"/>
  </w:num>
  <w:num w:numId="32">
    <w:abstractNumId w:val="29"/>
  </w:num>
  <w:num w:numId="33">
    <w:abstractNumId w:val="9"/>
  </w:num>
  <w:num w:numId="34">
    <w:abstractNumId w:val="2"/>
  </w:num>
  <w:num w:numId="35">
    <w:abstractNumId w:val="27"/>
  </w:num>
  <w:num w:numId="36">
    <w:abstractNumId w:val="40"/>
  </w:num>
  <w:num w:numId="37">
    <w:abstractNumId w:val="14"/>
  </w:num>
  <w:num w:numId="38">
    <w:abstractNumId w:val="16"/>
  </w:num>
  <w:num w:numId="39">
    <w:abstractNumId w:val="10"/>
  </w:num>
  <w:num w:numId="40">
    <w:abstractNumId w:val="17"/>
  </w:num>
  <w:num w:numId="41">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E0"/>
    <w:rsid w:val="00012B0B"/>
    <w:rsid w:val="000149B0"/>
    <w:rsid w:val="000176BC"/>
    <w:rsid w:val="00017728"/>
    <w:rsid w:val="000262C6"/>
    <w:rsid w:val="00027B96"/>
    <w:rsid w:val="000337A0"/>
    <w:rsid w:val="00060CAA"/>
    <w:rsid w:val="00075959"/>
    <w:rsid w:val="000937E8"/>
    <w:rsid w:val="000A3EAD"/>
    <w:rsid w:val="000B38F0"/>
    <w:rsid w:val="000B3B80"/>
    <w:rsid w:val="000C55DB"/>
    <w:rsid w:val="000E6BA0"/>
    <w:rsid w:val="000F6B70"/>
    <w:rsid w:val="001042D4"/>
    <w:rsid w:val="001079CB"/>
    <w:rsid w:val="001226AC"/>
    <w:rsid w:val="001229A8"/>
    <w:rsid w:val="00126C4D"/>
    <w:rsid w:val="001306FF"/>
    <w:rsid w:val="00142EB5"/>
    <w:rsid w:val="00151E74"/>
    <w:rsid w:val="00151ECF"/>
    <w:rsid w:val="001626A6"/>
    <w:rsid w:val="00163B9A"/>
    <w:rsid w:val="00172485"/>
    <w:rsid w:val="00176BE4"/>
    <w:rsid w:val="00182BA8"/>
    <w:rsid w:val="0019043E"/>
    <w:rsid w:val="001944A2"/>
    <w:rsid w:val="001A7C04"/>
    <w:rsid w:val="001B6D1A"/>
    <w:rsid w:val="001B7AC0"/>
    <w:rsid w:val="001B7D97"/>
    <w:rsid w:val="001C75E5"/>
    <w:rsid w:val="001E5A5C"/>
    <w:rsid w:val="00200065"/>
    <w:rsid w:val="00203A7C"/>
    <w:rsid w:val="00203B60"/>
    <w:rsid w:val="00210DD0"/>
    <w:rsid w:val="002139DC"/>
    <w:rsid w:val="00227953"/>
    <w:rsid w:val="00243B3C"/>
    <w:rsid w:val="002874D7"/>
    <w:rsid w:val="00294038"/>
    <w:rsid w:val="00296F80"/>
    <w:rsid w:val="002A0714"/>
    <w:rsid w:val="002B5965"/>
    <w:rsid w:val="002D2D53"/>
    <w:rsid w:val="002F5A8E"/>
    <w:rsid w:val="00311FEC"/>
    <w:rsid w:val="0032269A"/>
    <w:rsid w:val="00324A35"/>
    <w:rsid w:val="00327375"/>
    <w:rsid w:val="00330650"/>
    <w:rsid w:val="003364BA"/>
    <w:rsid w:val="00337FB9"/>
    <w:rsid w:val="00352BE6"/>
    <w:rsid w:val="00353EF6"/>
    <w:rsid w:val="00354549"/>
    <w:rsid w:val="00356CC9"/>
    <w:rsid w:val="00356EC7"/>
    <w:rsid w:val="00376530"/>
    <w:rsid w:val="00380485"/>
    <w:rsid w:val="00382F46"/>
    <w:rsid w:val="003905D4"/>
    <w:rsid w:val="00391A1F"/>
    <w:rsid w:val="00393887"/>
    <w:rsid w:val="0039674B"/>
    <w:rsid w:val="00397668"/>
    <w:rsid w:val="003A0366"/>
    <w:rsid w:val="003C32EB"/>
    <w:rsid w:val="003D7F95"/>
    <w:rsid w:val="003E2682"/>
    <w:rsid w:val="003F24E7"/>
    <w:rsid w:val="003F600C"/>
    <w:rsid w:val="004012C6"/>
    <w:rsid w:val="0040179D"/>
    <w:rsid w:val="004057D0"/>
    <w:rsid w:val="00405BFE"/>
    <w:rsid w:val="004105B8"/>
    <w:rsid w:val="004116C6"/>
    <w:rsid w:val="00422ABB"/>
    <w:rsid w:val="00422E49"/>
    <w:rsid w:val="004269A2"/>
    <w:rsid w:val="004409EE"/>
    <w:rsid w:val="00444655"/>
    <w:rsid w:val="00462B77"/>
    <w:rsid w:val="00471ECE"/>
    <w:rsid w:val="0047519A"/>
    <w:rsid w:val="004800D6"/>
    <w:rsid w:val="0048694A"/>
    <w:rsid w:val="004914AB"/>
    <w:rsid w:val="00492FFD"/>
    <w:rsid w:val="004A5C3B"/>
    <w:rsid w:val="004D6423"/>
    <w:rsid w:val="004F3A8D"/>
    <w:rsid w:val="004F3A9B"/>
    <w:rsid w:val="004F3C52"/>
    <w:rsid w:val="004F6CF2"/>
    <w:rsid w:val="00525226"/>
    <w:rsid w:val="00546BF4"/>
    <w:rsid w:val="0055219C"/>
    <w:rsid w:val="00563471"/>
    <w:rsid w:val="00565AD5"/>
    <w:rsid w:val="00565B03"/>
    <w:rsid w:val="00566FB1"/>
    <w:rsid w:val="005727EB"/>
    <w:rsid w:val="005732DF"/>
    <w:rsid w:val="005803B8"/>
    <w:rsid w:val="00596223"/>
    <w:rsid w:val="005B4D28"/>
    <w:rsid w:val="005B4EA1"/>
    <w:rsid w:val="005B5ECD"/>
    <w:rsid w:val="005C0677"/>
    <w:rsid w:val="005D1AFC"/>
    <w:rsid w:val="005D3DCF"/>
    <w:rsid w:val="005E0929"/>
    <w:rsid w:val="005F6A9C"/>
    <w:rsid w:val="00605855"/>
    <w:rsid w:val="0061213D"/>
    <w:rsid w:val="006176C3"/>
    <w:rsid w:val="00624344"/>
    <w:rsid w:val="00635EFD"/>
    <w:rsid w:val="0064634F"/>
    <w:rsid w:val="006468BC"/>
    <w:rsid w:val="00661692"/>
    <w:rsid w:val="00665CD4"/>
    <w:rsid w:val="00677A5D"/>
    <w:rsid w:val="00690B33"/>
    <w:rsid w:val="00697FEE"/>
    <w:rsid w:val="006A0AD5"/>
    <w:rsid w:val="006B1E5F"/>
    <w:rsid w:val="006C464C"/>
    <w:rsid w:val="006D1916"/>
    <w:rsid w:val="006D1CE8"/>
    <w:rsid w:val="006E556B"/>
    <w:rsid w:val="006F3F6C"/>
    <w:rsid w:val="006F4474"/>
    <w:rsid w:val="0073506A"/>
    <w:rsid w:val="00742EC3"/>
    <w:rsid w:val="007439FF"/>
    <w:rsid w:val="007448F4"/>
    <w:rsid w:val="00750352"/>
    <w:rsid w:val="00753EFC"/>
    <w:rsid w:val="00761275"/>
    <w:rsid w:val="00771245"/>
    <w:rsid w:val="00785FD9"/>
    <w:rsid w:val="00786ED6"/>
    <w:rsid w:val="00790376"/>
    <w:rsid w:val="00791DCD"/>
    <w:rsid w:val="007A3388"/>
    <w:rsid w:val="007A3DA6"/>
    <w:rsid w:val="007B02B3"/>
    <w:rsid w:val="007B72C4"/>
    <w:rsid w:val="007B7DFA"/>
    <w:rsid w:val="007D0063"/>
    <w:rsid w:val="007E0C6D"/>
    <w:rsid w:val="007E279E"/>
    <w:rsid w:val="007F2DB9"/>
    <w:rsid w:val="007F37DF"/>
    <w:rsid w:val="00800B99"/>
    <w:rsid w:val="00816B3E"/>
    <w:rsid w:val="00821ADE"/>
    <w:rsid w:val="008232EF"/>
    <w:rsid w:val="00853C76"/>
    <w:rsid w:val="00854CBA"/>
    <w:rsid w:val="008578F1"/>
    <w:rsid w:val="00867F89"/>
    <w:rsid w:val="00871B36"/>
    <w:rsid w:val="00882737"/>
    <w:rsid w:val="00893FC9"/>
    <w:rsid w:val="00894B74"/>
    <w:rsid w:val="0089651A"/>
    <w:rsid w:val="008A6882"/>
    <w:rsid w:val="008B1C76"/>
    <w:rsid w:val="008B3E3A"/>
    <w:rsid w:val="008C2CEA"/>
    <w:rsid w:val="008D30D1"/>
    <w:rsid w:val="008D5DE8"/>
    <w:rsid w:val="008E2757"/>
    <w:rsid w:val="008E5F83"/>
    <w:rsid w:val="008F27F8"/>
    <w:rsid w:val="008F3618"/>
    <w:rsid w:val="009175B3"/>
    <w:rsid w:val="00924B9B"/>
    <w:rsid w:val="00925358"/>
    <w:rsid w:val="0093593E"/>
    <w:rsid w:val="009472AB"/>
    <w:rsid w:val="00953F88"/>
    <w:rsid w:val="00956440"/>
    <w:rsid w:val="00965710"/>
    <w:rsid w:val="00976328"/>
    <w:rsid w:val="00976D1F"/>
    <w:rsid w:val="009918AC"/>
    <w:rsid w:val="009A0044"/>
    <w:rsid w:val="009A1F76"/>
    <w:rsid w:val="009A76C0"/>
    <w:rsid w:val="009B149F"/>
    <w:rsid w:val="009D5D75"/>
    <w:rsid w:val="009E162B"/>
    <w:rsid w:val="009E5A41"/>
    <w:rsid w:val="009E5B74"/>
    <w:rsid w:val="00A00998"/>
    <w:rsid w:val="00A03D2F"/>
    <w:rsid w:val="00A11B0A"/>
    <w:rsid w:val="00A138C9"/>
    <w:rsid w:val="00A150A7"/>
    <w:rsid w:val="00A15D47"/>
    <w:rsid w:val="00A20F2B"/>
    <w:rsid w:val="00A350F6"/>
    <w:rsid w:val="00A46045"/>
    <w:rsid w:val="00A60074"/>
    <w:rsid w:val="00A63A24"/>
    <w:rsid w:val="00A74C3D"/>
    <w:rsid w:val="00A922E9"/>
    <w:rsid w:val="00A96ED3"/>
    <w:rsid w:val="00A975DA"/>
    <w:rsid w:val="00AA4C83"/>
    <w:rsid w:val="00AB672B"/>
    <w:rsid w:val="00AC2ABB"/>
    <w:rsid w:val="00AD2DBB"/>
    <w:rsid w:val="00AE2B27"/>
    <w:rsid w:val="00AE3015"/>
    <w:rsid w:val="00AE4A30"/>
    <w:rsid w:val="00AF786E"/>
    <w:rsid w:val="00AF7FBB"/>
    <w:rsid w:val="00B04EC6"/>
    <w:rsid w:val="00B0696D"/>
    <w:rsid w:val="00B14804"/>
    <w:rsid w:val="00B40620"/>
    <w:rsid w:val="00B6402F"/>
    <w:rsid w:val="00B87D65"/>
    <w:rsid w:val="00B9254A"/>
    <w:rsid w:val="00BB6417"/>
    <w:rsid w:val="00BC5376"/>
    <w:rsid w:val="00BC5AD0"/>
    <w:rsid w:val="00BC750A"/>
    <w:rsid w:val="00C07B97"/>
    <w:rsid w:val="00C123B8"/>
    <w:rsid w:val="00C12C01"/>
    <w:rsid w:val="00C145D9"/>
    <w:rsid w:val="00C17C6E"/>
    <w:rsid w:val="00C17D53"/>
    <w:rsid w:val="00C21678"/>
    <w:rsid w:val="00C2530E"/>
    <w:rsid w:val="00C267E0"/>
    <w:rsid w:val="00C3324C"/>
    <w:rsid w:val="00C5647C"/>
    <w:rsid w:val="00C65D63"/>
    <w:rsid w:val="00C666C8"/>
    <w:rsid w:val="00C81040"/>
    <w:rsid w:val="00C834D4"/>
    <w:rsid w:val="00C91C1F"/>
    <w:rsid w:val="00C95838"/>
    <w:rsid w:val="00C963CA"/>
    <w:rsid w:val="00CB1203"/>
    <w:rsid w:val="00CB2D25"/>
    <w:rsid w:val="00CC33BC"/>
    <w:rsid w:val="00CC4F63"/>
    <w:rsid w:val="00CC5E1B"/>
    <w:rsid w:val="00CD1574"/>
    <w:rsid w:val="00CE6FE7"/>
    <w:rsid w:val="00CF2B93"/>
    <w:rsid w:val="00CF3FFD"/>
    <w:rsid w:val="00D03FDF"/>
    <w:rsid w:val="00D56BC8"/>
    <w:rsid w:val="00D6282C"/>
    <w:rsid w:val="00D65740"/>
    <w:rsid w:val="00D75233"/>
    <w:rsid w:val="00D7612E"/>
    <w:rsid w:val="00D76893"/>
    <w:rsid w:val="00D82CD2"/>
    <w:rsid w:val="00D848E1"/>
    <w:rsid w:val="00DA651E"/>
    <w:rsid w:val="00DC0A3C"/>
    <w:rsid w:val="00DC1050"/>
    <w:rsid w:val="00DD18B6"/>
    <w:rsid w:val="00DD1F32"/>
    <w:rsid w:val="00DD5D0B"/>
    <w:rsid w:val="00DD6586"/>
    <w:rsid w:val="00DD7A69"/>
    <w:rsid w:val="00DE4DA0"/>
    <w:rsid w:val="00DE56F8"/>
    <w:rsid w:val="00DF40B5"/>
    <w:rsid w:val="00DF4C3B"/>
    <w:rsid w:val="00E205C9"/>
    <w:rsid w:val="00E30491"/>
    <w:rsid w:val="00E305C1"/>
    <w:rsid w:val="00E30647"/>
    <w:rsid w:val="00E31FA7"/>
    <w:rsid w:val="00E41886"/>
    <w:rsid w:val="00E50655"/>
    <w:rsid w:val="00E7571F"/>
    <w:rsid w:val="00EA5AD8"/>
    <w:rsid w:val="00EC6166"/>
    <w:rsid w:val="00EC744B"/>
    <w:rsid w:val="00ED7F92"/>
    <w:rsid w:val="00EF3894"/>
    <w:rsid w:val="00EF74C3"/>
    <w:rsid w:val="00F03844"/>
    <w:rsid w:val="00F06290"/>
    <w:rsid w:val="00F074B4"/>
    <w:rsid w:val="00F147FA"/>
    <w:rsid w:val="00F15B6C"/>
    <w:rsid w:val="00F206CF"/>
    <w:rsid w:val="00F27778"/>
    <w:rsid w:val="00F313C2"/>
    <w:rsid w:val="00F36DDB"/>
    <w:rsid w:val="00F425DD"/>
    <w:rsid w:val="00F44ECA"/>
    <w:rsid w:val="00F539A2"/>
    <w:rsid w:val="00F60B87"/>
    <w:rsid w:val="00F6185A"/>
    <w:rsid w:val="00F77037"/>
    <w:rsid w:val="00FA0585"/>
    <w:rsid w:val="00FA4980"/>
    <w:rsid w:val="00FB421D"/>
    <w:rsid w:val="00FB5D2E"/>
    <w:rsid w:val="00FB61DD"/>
    <w:rsid w:val="00FD0BD0"/>
    <w:rsid w:val="00FD24FF"/>
    <w:rsid w:val="00FD31D4"/>
    <w:rsid w:val="00FD546F"/>
    <w:rsid w:val="00FD5722"/>
    <w:rsid w:val="00FE62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0E8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079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057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styleId="Zwykatabela1">
    <w:name w:val="Plain Table 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A975DA"/>
    <w:pPr>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3F600C"/>
    <w:rPr>
      <w:color w:val="605E5C"/>
      <w:shd w:val="clear" w:color="auto" w:fill="E1DFDD"/>
    </w:rPr>
  </w:style>
  <w:style w:type="character" w:styleId="Pogrubienie">
    <w:name w:val="Strong"/>
    <w:basedOn w:val="Domylnaczcionkaakapitu"/>
    <w:uiPriority w:val="22"/>
    <w:qFormat/>
    <w:rsid w:val="00A60074"/>
    <w:rPr>
      <w:b/>
      <w:bCs/>
    </w:rPr>
  </w:style>
  <w:style w:type="character" w:customStyle="1" w:styleId="Nagwek2Znak">
    <w:name w:val="Nagłówek 2 Znak"/>
    <w:basedOn w:val="Domylnaczcionkaakapitu"/>
    <w:link w:val="Nagwek2"/>
    <w:uiPriority w:val="9"/>
    <w:semiHidden/>
    <w:rsid w:val="001079CB"/>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4057D0"/>
    <w:rPr>
      <w:rFonts w:asciiTheme="majorHAnsi" w:eastAsiaTheme="majorEastAsia" w:hAnsiTheme="majorHAnsi" w:cstheme="majorBidi"/>
      <w:color w:val="1F3763" w:themeColor="accent1" w:themeShade="7F"/>
      <w:sz w:val="24"/>
      <w:szCs w:val="24"/>
    </w:rPr>
  </w:style>
  <w:style w:type="paragraph" w:styleId="Poprawka">
    <w:name w:val="Revision"/>
    <w:hidden/>
    <w:uiPriority w:val="99"/>
    <w:semiHidden/>
    <w:rsid w:val="00C332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9052">
      <w:bodyDiv w:val="1"/>
      <w:marLeft w:val="0"/>
      <w:marRight w:val="0"/>
      <w:marTop w:val="0"/>
      <w:marBottom w:val="0"/>
      <w:divBdr>
        <w:top w:val="none" w:sz="0" w:space="0" w:color="auto"/>
        <w:left w:val="none" w:sz="0" w:space="0" w:color="auto"/>
        <w:bottom w:val="none" w:sz="0" w:space="0" w:color="auto"/>
        <w:right w:val="none" w:sz="0" w:space="0" w:color="auto"/>
      </w:divBdr>
    </w:div>
    <w:div w:id="219679082">
      <w:bodyDiv w:val="1"/>
      <w:marLeft w:val="0"/>
      <w:marRight w:val="0"/>
      <w:marTop w:val="0"/>
      <w:marBottom w:val="0"/>
      <w:divBdr>
        <w:top w:val="none" w:sz="0" w:space="0" w:color="auto"/>
        <w:left w:val="none" w:sz="0" w:space="0" w:color="auto"/>
        <w:bottom w:val="none" w:sz="0" w:space="0" w:color="auto"/>
        <w:right w:val="none" w:sz="0" w:space="0" w:color="auto"/>
      </w:divBdr>
    </w:div>
    <w:div w:id="231162640">
      <w:bodyDiv w:val="1"/>
      <w:marLeft w:val="0"/>
      <w:marRight w:val="0"/>
      <w:marTop w:val="0"/>
      <w:marBottom w:val="0"/>
      <w:divBdr>
        <w:top w:val="none" w:sz="0" w:space="0" w:color="auto"/>
        <w:left w:val="none" w:sz="0" w:space="0" w:color="auto"/>
        <w:bottom w:val="none" w:sz="0" w:space="0" w:color="auto"/>
        <w:right w:val="none" w:sz="0" w:space="0" w:color="auto"/>
      </w:divBdr>
    </w:div>
    <w:div w:id="342781761">
      <w:bodyDiv w:val="1"/>
      <w:marLeft w:val="0"/>
      <w:marRight w:val="0"/>
      <w:marTop w:val="0"/>
      <w:marBottom w:val="0"/>
      <w:divBdr>
        <w:top w:val="none" w:sz="0" w:space="0" w:color="auto"/>
        <w:left w:val="none" w:sz="0" w:space="0" w:color="auto"/>
        <w:bottom w:val="none" w:sz="0" w:space="0" w:color="auto"/>
        <w:right w:val="none" w:sz="0" w:space="0" w:color="auto"/>
      </w:divBdr>
    </w:div>
    <w:div w:id="361634220">
      <w:bodyDiv w:val="1"/>
      <w:marLeft w:val="0"/>
      <w:marRight w:val="0"/>
      <w:marTop w:val="0"/>
      <w:marBottom w:val="0"/>
      <w:divBdr>
        <w:top w:val="none" w:sz="0" w:space="0" w:color="auto"/>
        <w:left w:val="none" w:sz="0" w:space="0" w:color="auto"/>
        <w:bottom w:val="none" w:sz="0" w:space="0" w:color="auto"/>
        <w:right w:val="none" w:sz="0" w:space="0" w:color="auto"/>
      </w:divBdr>
    </w:div>
    <w:div w:id="378087612">
      <w:bodyDiv w:val="1"/>
      <w:marLeft w:val="0"/>
      <w:marRight w:val="0"/>
      <w:marTop w:val="0"/>
      <w:marBottom w:val="0"/>
      <w:divBdr>
        <w:top w:val="none" w:sz="0" w:space="0" w:color="auto"/>
        <w:left w:val="none" w:sz="0" w:space="0" w:color="auto"/>
        <w:bottom w:val="none" w:sz="0" w:space="0" w:color="auto"/>
        <w:right w:val="none" w:sz="0" w:space="0" w:color="auto"/>
      </w:divBdr>
    </w:div>
    <w:div w:id="444926000">
      <w:bodyDiv w:val="1"/>
      <w:marLeft w:val="0"/>
      <w:marRight w:val="0"/>
      <w:marTop w:val="0"/>
      <w:marBottom w:val="0"/>
      <w:divBdr>
        <w:top w:val="none" w:sz="0" w:space="0" w:color="auto"/>
        <w:left w:val="none" w:sz="0" w:space="0" w:color="auto"/>
        <w:bottom w:val="none" w:sz="0" w:space="0" w:color="auto"/>
        <w:right w:val="none" w:sz="0" w:space="0" w:color="auto"/>
      </w:divBdr>
    </w:div>
    <w:div w:id="460656918">
      <w:bodyDiv w:val="1"/>
      <w:marLeft w:val="0"/>
      <w:marRight w:val="0"/>
      <w:marTop w:val="0"/>
      <w:marBottom w:val="0"/>
      <w:divBdr>
        <w:top w:val="none" w:sz="0" w:space="0" w:color="auto"/>
        <w:left w:val="none" w:sz="0" w:space="0" w:color="auto"/>
        <w:bottom w:val="none" w:sz="0" w:space="0" w:color="auto"/>
        <w:right w:val="none" w:sz="0" w:space="0" w:color="auto"/>
      </w:divBdr>
    </w:div>
    <w:div w:id="609506766">
      <w:bodyDiv w:val="1"/>
      <w:marLeft w:val="0"/>
      <w:marRight w:val="0"/>
      <w:marTop w:val="0"/>
      <w:marBottom w:val="0"/>
      <w:divBdr>
        <w:top w:val="none" w:sz="0" w:space="0" w:color="auto"/>
        <w:left w:val="none" w:sz="0" w:space="0" w:color="auto"/>
        <w:bottom w:val="none" w:sz="0" w:space="0" w:color="auto"/>
        <w:right w:val="none" w:sz="0" w:space="0" w:color="auto"/>
      </w:divBdr>
    </w:div>
    <w:div w:id="673656205">
      <w:bodyDiv w:val="1"/>
      <w:marLeft w:val="0"/>
      <w:marRight w:val="0"/>
      <w:marTop w:val="0"/>
      <w:marBottom w:val="0"/>
      <w:divBdr>
        <w:top w:val="none" w:sz="0" w:space="0" w:color="auto"/>
        <w:left w:val="none" w:sz="0" w:space="0" w:color="auto"/>
        <w:bottom w:val="none" w:sz="0" w:space="0" w:color="auto"/>
        <w:right w:val="none" w:sz="0" w:space="0" w:color="auto"/>
      </w:divBdr>
    </w:div>
    <w:div w:id="680277861">
      <w:bodyDiv w:val="1"/>
      <w:marLeft w:val="0"/>
      <w:marRight w:val="0"/>
      <w:marTop w:val="0"/>
      <w:marBottom w:val="0"/>
      <w:divBdr>
        <w:top w:val="none" w:sz="0" w:space="0" w:color="auto"/>
        <w:left w:val="none" w:sz="0" w:space="0" w:color="auto"/>
        <w:bottom w:val="none" w:sz="0" w:space="0" w:color="auto"/>
        <w:right w:val="none" w:sz="0" w:space="0" w:color="auto"/>
      </w:divBdr>
    </w:div>
    <w:div w:id="691878606">
      <w:bodyDiv w:val="1"/>
      <w:marLeft w:val="0"/>
      <w:marRight w:val="0"/>
      <w:marTop w:val="0"/>
      <w:marBottom w:val="0"/>
      <w:divBdr>
        <w:top w:val="none" w:sz="0" w:space="0" w:color="auto"/>
        <w:left w:val="none" w:sz="0" w:space="0" w:color="auto"/>
        <w:bottom w:val="none" w:sz="0" w:space="0" w:color="auto"/>
        <w:right w:val="none" w:sz="0" w:space="0" w:color="auto"/>
      </w:divBdr>
    </w:div>
    <w:div w:id="749278585">
      <w:bodyDiv w:val="1"/>
      <w:marLeft w:val="0"/>
      <w:marRight w:val="0"/>
      <w:marTop w:val="0"/>
      <w:marBottom w:val="0"/>
      <w:divBdr>
        <w:top w:val="none" w:sz="0" w:space="0" w:color="auto"/>
        <w:left w:val="none" w:sz="0" w:space="0" w:color="auto"/>
        <w:bottom w:val="none" w:sz="0" w:space="0" w:color="auto"/>
        <w:right w:val="none" w:sz="0" w:space="0" w:color="auto"/>
      </w:divBdr>
    </w:div>
    <w:div w:id="755133077">
      <w:bodyDiv w:val="1"/>
      <w:marLeft w:val="0"/>
      <w:marRight w:val="0"/>
      <w:marTop w:val="0"/>
      <w:marBottom w:val="0"/>
      <w:divBdr>
        <w:top w:val="none" w:sz="0" w:space="0" w:color="auto"/>
        <w:left w:val="none" w:sz="0" w:space="0" w:color="auto"/>
        <w:bottom w:val="none" w:sz="0" w:space="0" w:color="auto"/>
        <w:right w:val="none" w:sz="0" w:space="0" w:color="auto"/>
      </w:divBdr>
    </w:div>
    <w:div w:id="1102919140">
      <w:bodyDiv w:val="1"/>
      <w:marLeft w:val="0"/>
      <w:marRight w:val="0"/>
      <w:marTop w:val="0"/>
      <w:marBottom w:val="0"/>
      <w:divBdr>
        <w:top w:val="none" w:sz="0" w:space="0" w:color="auto"/>
        <w:left w:val="none" w:sz="0" w:space="0" w:color="auto"/>
        <w:bottom w:val="none" w:sz="0" w:space="0" w:color="auto"/>
        <w:right w:val="none" w:sz="0" w:space="0" w:color="auto"/>
      </w:divBdr>
    </w:div>
    <w:div w:id="1126511784">
      <w:bodyDiv w:val="1"/>
      <w:marLeft w:val="0"/>
      <w:marRight w:val="0"/>
      <w:marTop w:val="0"/>
      <w:marBottom w:val="0"/>
      <w:divBdr>
        <w:top w:val="none" w:sz="0" w:space="0" w:color="auto"/>
        <w:left w:val="none" w:sz="0" w:space="0" w:color="auto"/>
        <w:bottom w:val="none" w:sz="0" w:space="0" w:color="auto"/>
        <w:right w:val="none" w:sz="0" w:space="0" w:color="auto"/>
      </w:divBdr>
    </w:div>
    <w:div w:id="1151291763">
      <w:bodyDiv w:val="1"/>
      <w:marLeft w:val="0"/>
      <w:marRight w:val="0"/>
      <w:marTop w:val="0"/>
      <w:marBottom w:val="0"/>
      <w:divBdr>
        <w:top w:val="none" w:sz="0" w:space="0" w:color="auto"/>
        <w:left w:val="none" w:sz="0" w:space="0" w:color="auto"/>
        <w:bottom w:val="none" w:sz="0" w:space="0" w:color="auto"/>
        <w:right w:val="none" w:sz="0" w:space="0" w:color="auto"/>
      </w:divBdr>
    </w:div>
    <w:div w:id="1197738604">
      <w:bodyDiv w:val="1"/>
      <w:marLeft w:val="0"/>
      <w:marRight w:val="0"/>
      <w:marTop w:val="0"/>
      <w:marBottom w:val="0"/>
      <w:divBdr>
        <w:top w:val="none" w:sz="0" w:space="0" w:color="auto"/>
        <w:left w:val="none" w:sz="0" w:space="0" w:color="auto"/>
        <w:bottom w:val="none" w:sz="0" w:space="0" w:color="auto"/>
        <w:right w:val="none" w:sz="0" w:space="0" w:color="auto"/>
      </w:divBdr>
    </w:div>
    <w:div w:id="1237277522">
      <w:bodyDiv w:val="1"/>
      <w:marLeft w:val="0"/>
      <w:marRight w:val="0"/>
      <w:marTop w:val="0"/>
      <w:marBottom w:val="0"/>
      <w:divBdr>
        <w:top w:val="none" w:sz="0" w:space="0" w:color="auto"/>
        <w:left w:val="none" w:sz="0" w:space="0" w:color="auto"/>
        <w:bottom w:val="none" w:sz="0" w:space="0" w:color="auto"/>
        <w:right w:val="none" w:sz="0" w:space="0" w:color="auto"/>
      </w:divBdr>
    </w:div>
    <w:div w:id="1390424964">
      <w:bodyDiv w:val="1"/>
      <w:marLeft w:val="0"/>
      <w:marRight w:val="0"/>
      <w:marTop w:val="0"/>
      <w:marBottom w:val="0"/>
      <w:divBdr>
        <w:top w:val="none" w:sz="0" w:space="0" w:color="auto"/>
        <w:left w:val="none" w:sz="0" w:space="0" w:color="auto"/>
        <w:bottom w:val="none" w:sz="0" w:space="0" w:color="auto"/>
        <w:right w:val="none" w:sz="0" w:space="0" w:color="auto"/>
      </w:divBdr>
    </w:div>
    <w:div w:id="1645038203">
      <w:bodyDiv w:val="1"/>
      <w:marLeft w:val="0"/>
      <w:marRight w:val="0"/>
      <w:marTop w:val="0"/>
      <w:marBottom w:val="0"/>
      <w:divBdr>
        <w:top w:val="none" w:sz="0" w:space="0" w:color="auto"/>
        <w:left w:val="none" w:sz="0" w:space="0" w:color="auto"/>
        <w:bottom w:val="none" w:sz="0" w:space="0" w:color="auto"/>
        <w:right w:val="none" w:sz="0" w:space="0" w:color="auto"/>
      </w:divBdr>
    </w:div>
    <w:div w:id="1647315660">
      <w:bodyDiv w:val="1"/>
      <w:marLeft w:val="0"/>
      <w:marRight w:val="0"/>
      <w:marTop w:val="0"/>
      <w:marBottom w:val="0"/>
      <w:divBdr>
        <w:top w:val="none" w:sz="0" w:space="0" w:color="auto"/>
        <w:left w:val="none" w:sz="0" w:space="0" w:color="auto"/>
        <w:bottom w:val="none" w:sz="0" w:space="0" w:color="auto"/>
        <w:right w:val="none" w:sz="0" w:space="0" w:color="auto"/>
      </w:divBdr>
    </w:div>
    <w:div w:id="1691292538">
      <w:bodyDiv w:val="1"/>
      <w:marLeft w:val="0"/>
      <w:marRight w:val="0"/>
      <w:marTop w:val="0"/>
      <w:marBottom w:val="0"/>
      <w:divBdr>
        <w:top w:val="none" w:sz="0" w:space="0" w:color="auto"/>
        <w:left w:val="none" w:sz="0" w:space="0" w:color="auto"/>
        <w:bottom w:val="none" w:sz="0" w:space="0" w:color="auto"/>
        <w:right w:val="none" w:sz="0" w:space="0" w:color="auto"/>
      </w:divBdr>
    </w:div>
    <w:div w:id="1708795282">
      <w:bodyDiv w:val="1"/>
      <w:marLeft w:val="0"/>
      <w:marRight w:val="0"/>
      <w:marTop w:val="0"/>
      <w:marBottom w:val="0"/>
      <w:divBdr>
        <w:top w:val="none" w:sz="0" w:space="0" w:color="auto"/>
        <w:left w:val="none" w:sz="0" w:space="0" w:color="auto"/>
        <w:bottom w:val="none" w:sz="0" w:space="0" w:color="auto"/>
        <w:right w:val="none" w:sz="0" w:space="0" w:color="auto"/>
      </w:divBdr>
    </w:div>
    <w:div w:id="1781678468">
      <w:bodyDiv w:val="1"/>
      <w:marLeft w:val="0"/>
      <w:marRight w:val="0"/>
      <w:marTop w:val="0"/>
      <w:marBottom w:val="0"/>
      <w:divBdr>
        <w:top w:val="none" w:sz="0" w:space="0" w:color="auto"/>
        <w:left w:val="none" w:sz="0" w:space="0" w:color="auto"/>
        <w:bottom w:val="none" w:sz="0" w:space="0" w:color="auto"/>
        <w:right w:val="none" w:sz="0" w:space="0" w:color="auto"/>
      </w:divBdr>
    </w:div>
    <w:div w:id="1804736997">
      <w:bodyDiv w:val="1"/>
      <w:marLeft w:val="0"/>
      <w:marRight w:val="0"/>
      <w:marTop w:val="0"/>
      <w:marBottom w:val="0"/>
      <w:divBdr>
        <w:top w:val="none" w:sz="0" w:space="0" w:color="auto"/>
        <w:left w:val="none" w:sz="0" w:space="0" w:color="auto"/>
        <w:bottom w:val="none" w:sz="0" w:space="0" w:color="auto"/>
        <w:right w:val="none" w:sz="0" w:space="0" w:color="auto"/>
      </w:divBdr>
    </w:div>
    <w:div w:id="1856457624">
      <w:bodyDiv w:val="1"/>
      <w:marLeft w:val="0"/>
      <w:marRight w:val="0"/>
      <w:marTop w:val="0"/>
      <w:marBottom w:val="0"/>
      <w:divBdr>
        <w:top w:val="none" w:sz="0" w:space="0" w:color="auto"/>
        <w:left w:val="none" w:sz="0" w:space="0" w:color="auto"/>
        <w:bottom w:val="none" w:sz="0" w:space="0" w:color="auto"/>
        <w:right w:val="none" w:sz="0" w:space="0" w:color="auto"/>
      </w:divBdr>
    </w:div>
    <w:div w:id="1861581377">
      <w:bodyDiv w:val="1"/>
      <w:marLeft w:val="0"/>
      <w:marRight w:val="0"/>
      <w:marTop w:val="0"/>
      <w:marBottom w:val="0"/>
      <w:divBdr>
        <w:top w:val="none" w:sz="0" w:space="0" w:color="auto"/>
        <w:left w:val="none" w:sz="0" w:space="0" w:color="auto"/>
        <w:bottom w:val="none" w:sz="0" w:space="0" w:color="auto"/>
        <w:right w:val="none" w:sz="0" w:space="0" w:color="auto"/>
      </w:divBdr>
    </w:div>
    <w:div w:id="1871187171">
      <w:bodyDiv w:val="1"/>
      <w:marLeft w:val="0"/>
      <w:marRight w:val="0"/>
      <w:marTop w:val="0"/>
      <w:marBottom w:val="0"/>
      <w:divBdr>
        <w:top w:val="none" w:sz="0" w:space="0" w:color="auto"/>
        <w:left w:val="none" w:sz="0" w:space="0" w:color="auto"/>
        <w:bottom w:val="none" w:sz="0" w:space="0" w:color="auto"/>
        <w:right w:val="none" w:sz="0" w:space="0" w:color="auto"/>
      </w:divBdr>
    </w:div>
    <w:div w:id="1919901190">
      <w:bodyDiv w:val="1"/>
      <w:marLeft w:val="0"/>
      <w:marRight w:val="0"/>
      <w:marTop w:val="0"/>
      <w:marBottom w:val="0"/>
      <w:divBdr>
        <w:top w:val="none" w:sz="0" w:space="0" w:color="auto"/>
        <w:left w:val="none" w:sz="0" w:space="0" w:color="auto"/>
        <w:bottom w:val="none" w:sz="0" w:space="0" w:color="auto"/>
        <w:right w:val="none" w:sz="0" w:space="0" w:color="auto"/>
      </w:divBdr>
    </w:div>
    <w:div w:id="1943876144">
      <w:bodyDiv w:val="1"/>
      <w:marLeft w:val="0"/>
      <w:marRight w:val="0"/>
      <w:marTop w:val="0"/>
      <w:marBottom w:val="0"/>
      <w:divBdr>
        <w:top w:val="none" w:sz="0" w:space="0" w:color="auto"/>
        <w:left w:val="none" w:sz="0" w:space="0" w:color="auto"/>
        <w:bottom w:val="none" w:sz="0" w:space="0" w:color="auto"/>
        <w:right w:val="none" w:sz="0" w:space="0" w:color="auto"/>
      </w:divBdr>
    </w:div>
    <w:div w:id="1984768175">
      <w:bodyDiv w:val="1"/>
      <w:marLeft w:val="0"/>
      <w:marRight w:val="0"/>
      <w:marTop w:val="0"/>
      <w:marBottom w:val="0"/>
      <w:divBdr>
        <w:top w:val="none" w:sz="0" w:space="0" w:color="auto"/>
        <w:left w:val="none" w:sz="0" w:space="0" w:color="auto"/>
        <w:bottom w:val="none" w:sz="0" w:space="0" w:color="auto"/>
        <w:right w:val="none" w:sz="0" w:space="0" w:color="auto"/>
      </w:divBdr>
    </w:div>
    <w:div w:id="2004238372">
      <w:bodyDiv w:val="1"/>
      <w:marLeft w:val="0"/>
      <w:marRight w:val="0"/>
      <w:marTop w:val="0"/>
      <w:marBottom w:val="0"/>
      <w:divBdr>
        <w:top w:val="none" w:sz="0" w:space="0" w:color="auto"/>
        <w:left w:val="none" w:sz="0" w:space="0" w:color="auto"/>
        <w:bottom w:val="none" w:sz="0" w:space="0" w:color="auto"/>
        <w:right w:val="none" w:sz="0" w:space="0" w:color="auto"/>
      </w:divBdr>
    </w:div>
    <w:div w:id="2054963306">
      <w:bodyDiv w:val="1"/>
      <w:marLeft w:val="0"/>
      <w:marRight w:val="0"/>
      <w:marTop w:val="0"/>
      <w:marBottom w:val="0"/>
      <w:divBdr>
        <w:top w:val="none" w:sz="0" w:space="0" w:color="auto"/>
        <w:left w:val="none" w:sz="0" w:space="0" w:color="auto"/>
        <w:bottom w:val="none" w:sz="0" w:space="0" w:color="auto"/>
        <w:right w:val="none" w:sz="0" w:space="0" w:color="auto"/>
      </w:divBdr>
    </w:div>
    <w:div w:id="2080401783">
      <w:bodyDiv w:val="1"/>
      <w:marLeft w:val="0"/>
      <w:marRight w:val="0"/>
      <w:marTop w:val="0"/>
      <w:marBottom w:val="0"/>
      <w:divBdr>
        <w:top w:val="none" w:sz="0" w:space="0" w:color="auto"/>
        <w:left w:val="none" w:sz="0" w:space="0" w:color="auto"/>
        <w:bottom w:val="none" w:sz="0" w:space="0" w:color="auto"/>
        <w:right w:val="none" w:sz="0" w:space="0" w:color="auto"/>
      </w:divBdr>
    </w:div>
    <w:div w:id="209685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ED6BE-9406-45B8-BBF5-3E182DA2A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2974</Words>
  <Characters>17844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2025-08-22T07:50:00Z</dcterms:created>
  <dcterms:modified xsi:type="dcterms:W3CDTF">2025-12-04T11:52:00Z</dcterms:modified>
</cp:coreProperties>
</file>